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16339B" w:rsidRPr="009519BD" w14:paraId="03FB3B44" w14:textId="77777777" w:rsidTr="00767705">
        <w:trPr>
          <w:trHeight w:val="300"/>
        </w:trPr>
        <w:tc>
          <w:tcPr>
            <w:tcW w:w="1896" w:type="dxa"/>
            <w:noWrap/>
            <w:vAlign w:val="bottom"/>
          </w:tcPr>
          <w:p w14:paraId="022F9C0E" w14:textId="42D1878F" w:rsidR="0016339B" w:rsidRPr="009519BD" w:rsidRDefault="0016339B" w:rsidP="0016339B">
            <w:pPr>
              <w:rPr>
                <w:rFonts w:ascii="Calibri" w:eastAsia="Times New Roman" w:hAnsi="Calibri" w:cs="Calibri"/>
                <w:color w:val="000000"/>
              </w:rPr>
            </w:pPr>
            <w:r>
              <w:rPr>
                <w:rFonts w:ascii="Calibri" w:hAnsi="Calibri" w:cs="Calibri"/>
                <w:color w:val="000000"/>
              </w:rPr>
              <w:t xml:space="preserve">52.232-39 </w:t>
            </w:r>
          </w:p>
        </w:tc>
        <w:tc>
          <w:tcPr>
            <w:tcW w:w="2009" w:type="dxa"/>
            <w:noWrap/>
            <w:vAlign w:val="bottom"/>
          </w:tcPr>
          <w:p w14:paraId="77827749" w14:textId="6C6E0B87" w:rsidR="0016339B" w:rsidRPr="009519BD" w:rsidRDefault="0016339B" w:rsidP="0016339B">
            <w:pPr>
              <w:rPr>
                <w:rFonts w:ascii="Calibri" w:eastAsia="Times New Roman" w:hAnsi="Calibri" w:cs="Calibri"/>
                <w:color w:val="000000"/>
              </w:rPr>
            </w:pPr>
            <w:r>
              <w:rPr>
                <w:rFonts w:ascii="Calibri" w:hAnsi="Calibri" w:cs="Calibri"/>
                <w:color w:val="000000"/>
              </w:rPr>
              <w:t>6/1/2013</w:t>
            </w:r>
          </w:p>
        </w:tc>
        <w:tc>
          <w:tcPr>
            <w:tcW w:w="2800" w:type="dxa"/>
            <w:noWrap/>
            <w:vAlign w:val="bottom"/>
          </w:tcPr>
          <w:p w14:paraId="6327202F" w14:textId="78AA2910" w:rsidR="0016339B" w:rsidRPr="009519BD" w:rsidRDefault="0016339B" w:rsidP="0016339B">
            <w:pPr>
              <w:rPr>
                <w:rFonts w:ascii="Calibri" w:eastAsia="Times New Roman" w:hAnsi="Calibri" w:cs="Calibri"/>
                <w:color w:val="000000"/>
              </w:rPr>
            </w:pPr>
            <w:r>
              <w:rPr>
                <w:rFonts w:ascii="Calibri" w:hAnsi="Calibri" w:cs="Calibri"/>
                <w:color w:val="000000"/>
              </w:rPr>
              <w:t>Unenforceability of Unauthorized Obligations.</w:t>
            </w:r>
          </w:p>
        </w:tc>
        <w:tc>
          <w:tcPr>
            <w:tcW w:w="2645" w:type="dxa"/>
            <w:noWrap/>
            <w:vAlign w:val="bottom"/>
          </w:tcPr>
          <w:p w14:paraId="6F0A94CC" w14:textId="6D369C32" w:rsidR="0016339B" w:rsidRPr="005A2DAB" w:rsidRDefault="0016339B" w:rsidP="0016339B">
            <w:pPr>
              <w:rPr>
                <w:rFonts w:ascii="Calibri" w:eastAsia="Times New Roman" w:hAnsi="Calibri" w:cs="Calibri"/>
                <w:color w:val="000000"/>
              </w:rPr>
            </w:pPr>
            <w:r>
              <w:rPr>
                <w:rFonts w:ascii="Calibri" w:eastAsia="Times New Roman" w:hAnsi="Calibri" w:cs="Calibri"/>
                <w:color w:val="000000"/>
              </w:rPr>
              <w:t>None</w:t>
            </w:r>
          </w:p>
        </w:tc>
      </w:tr>
      <w:tr w:rsidR="0016339B" w:rsidRPr="009519BD" w14:paraId="0FDDD274" w14:textId="77777777" w:rsidTr="00767705">
        <w:trPr>
          <w:trHeight w:val="300"/>
        </w:trPr>
        <w:tc>
          <w:tcPr>
            <w:tcW w:w="1896" w:type="dxa"/>
            <w:noWrap/>
            <w:vAlign w:val="bottom"/>
          </w:tcPr>
          <w:p w14:paraId="581D5B92" w14:textId="2E7A80B0" w:rsidR="0016339B" w:rsidRPr="009519BD" w:rsidRDefault="0016339B" w:rsidP="0016339B">
            <w:pPr>
              <w:rPr>
                <w:rFonts w:ascii="Calibri" w:eastAsia="Times New Roman" w:hAnsi="Calibri" w:cs="Calibri"/>
                <w:color w:val="000000"/>
              </w:rPr>
            </w:pPr>
            <w:r>
              <w:rPr>
                <w:rFonts w:ascii="Calibri" w:hAnsi="Calibri" w:cs="Calibri"/>
                <w:color w:val="000000"/>
              </w:rPr>
              <w:t xml:space="preserve">52.245-9 </w:t>
            </w:r>
          </w:p>
        </w:tc>
        <w:tc>
          <w:tcPr>
            <w:tcW w:w="2009" w:type="dxa"/>
            <w:noWrap/>
            <w:vAlign w:val="bottom"/>
          </w:tcPr>
          <w:p w14:paraId="794ECEE5" w14:textId="34A6B17B" w:rsidR="0016339B" w:rsidRPr="009519BD" w:rsidRDefault="0016339B" w:rsidP="0016339B">
            <w:pPr>
              <w:rPr>
                <w:rFonts w:ascii="Calibri" w:eastAsia="Times New Roman" w:hAnsi="Calibri" w:cs="Calibri"/>
                <w:color w:val="000000"/>
              </w:rPr>
            </w:pPr>
            <w:r>
              <w:rPr>
                <w:rFonts w:ascii="Calibri" w:hAnsi="Calibri" w:cs="Calibri"/>
                <w:color w:val="000000"/>
              </w:rPr>
              <w:t>4/1/2012</w:t>
            </w:r>
          </w:p>
        </w:tc>
        <w:tc>
          <w:tcPr>
            <w:tcW w:w="2800" w:type="dxa"/>
            <w:noWrap/>
            <w:vAlign w:val="bottom"/>
          </w:tcPr>
          <w:p w14:paraId="5F6425BE" w14:textId="10576BE2" w:rsidR="0016339B" w:rsidRPr="009519BD" w:rsidRDefault="0016339B" w:rsidP="0016339B">
            <w:pPr>
              <w:rPr>
                <w:rFonts w:ascii="Calibri" w:eastAsia="Times New Roman" w:hAnsi="Calibri" w:cs="Calibri"/>
                <w:color w:val="000000"/>
              </w:rPr>
            </w:pPr>
            <w:r>
              <w:rPr>
                <w:rFonts w:ascii="Calibri" w:hAnsi="Calibri" w:cs="Calibri"/>
                <w:color w:val="000000"/>
              </w:rPr>
              <w:t>Use and Charges.</w:t>
            </w:r>
          </w:p>
        </w:tc>
        <w:tc>
          <w:tcPr>
            <w:tcW w:w="2645" w:type="dxa"/>
            <w:noWrap/>
            <w:vAlign w:val="bottom"/>
          </w:tcPr>
          <w:p w14:paraId="2008E249" w14:textId="7B3071D5" w:rsidR="0016339B" w:rsidRPr="00883C39" w:rsidRDefault="0016339B" w:rsidP="0016339B">
            <w:pPr>
              <w:rPr>
                <w:rFonts w:ascii="Calibri" w:hAnsi="Calibri" w:cs="Calibri"/>
                <w:color w:val="000000"/>
              </w:rPr>
            </w:pPr>
            <w:r>
              <w:rPr>
                <w:rFonts w:ascii="Calibri" w:hAnsi="Calibri" w:cs="Calibri"/>
                <w:color w:val="000000"/>
              </w:rPr>
              <w:t>Communications with the Government under this clause will be made through Lockheed Martin.</w:t>
            </w:r>
          </w:p>
        </w:tc>
      </w:tr>
      <w:tr w:rsidR="0016339B" w:rsidRPr="009519BD" w14:paraId="7EEEC9C8" w14:textId="77777777" w:rsidTr="00767705">
        <w:trPr>
          <w:trHeight w:val="300"/>
        </w:trPr>
        <w:tc>
          <w:tcPr>
            <w:tcW w:w="1896" w:type="dxa"/>
            <w:noWrap/>
            <w:vAlign w:val="bottom"/>
          </w:tcPr>
          <w:p w14:paraId="0B25C058" w14:textId="16C5BFFE" w:rsidR="0016339B" w:rsidRPr="009519BD" w:rsidRDefault="0016339B" w:rsidP="0016339B">
            <w:pPr>
              <w:rPr>
                <w:rFonts w:ascii="Calibri" w:eastAsia="Times New Roman" w:hAnsi="Calibri" w:cs="Calibri"/>
                <w:color w:val="000000"/>
              </w:rPr>
            </w:pPr>
            <w:r>
              <w:rPr>
                <w:rFonts w:ascii="Calibri" w:hAnsi="Calibri" w:cs="Calibri"/>
                <w:color w:val="000000"/>
              </w:rPr>
              <w:t xml:space="preserve">252.211-7007 </w:t>
            </w:r>
          </w:p>
        </w:tc>
        <w:tc>
          <w:tcPr>
            <w:tcW w:w="2009" w:type="dxa"/>
            <w:noWrap/>
            <w:vAlign w:val="bottom"/>
          </w:tcPr>
          <w:p w14:paraId="4250A252" w14:textId="6A10F489" w:rsidR="0016339B" w:rsidRPr="009519BD" w:rsidRDefault="0016339B" w:rsidP="0016339B">
            <w:pPr>
              <w:rPr>
                <w:rFonts w:ascii="Calibri" w:eastAsia="Times New Roman" w:hAnsi="Calibri" w:cs="Calibri"/>
                <w:color w:val="000000"/>
              </w:rPr>
            </w:pPr>
            <w:r>
              <w:rPr>
                <w:rFonts w:ascii="Calibri" w:hAnsi="Calibri" w:cs="Calibri"/>
                <w:color w:val="000000"/>
              </w:rPr>
              <w:t>8/1/2012</w:t>
            </w:r>
          </w:p>
        </w:tc>
        <w:tc>
          <w:tcPr>
            <w:tcW w:w="2800" w:type="dxa"/>
            <w:noWrap/>
            <w:vAlign w:val="bottom"/>
          </w:tcPr>
          <w:p w14:paraId="2A700007" w14:textId="445169FF" w:rsidR="0016339B" w:rsidRPr="009519BD" w:rsidRDefault="0016339B" w:rsidP="0016339B">
            <w:pPr>
              <w:rPr>
                <w:rFonts w:ascii="Calibri" w:eastAsia="Times New Roman" w:hAnsi="Calibri" w:cs="Calibri"/>
                <w:color w:val="000000"/>
              </w:rPr>
            </w:pPr>
            <w:r>
              <w:rPr>
                <w:rFonts w:ascii="Calibri" w:hAnsi="Calibri" w:cs="Calibri"/>
                <w:color w:val="000000"/>
              </w:rPr>
              <w:t>Reporting of Government-Furnished Property.</w:t>
            </w:r>
          </w:p>
        </w:tc>
        <w:tc>
          <w:tcPr>
            <w:tcW w:w="2645" w:type="dxa"/>
            <w:noWrap/>
            <w:vAlign w:val="bottom"/>
            <w:hideMark/>
          </w:tcPr>
          <w:p w14:paraId="25BDD706" w14:textId="2229BA14" w:rsidR="0016339B" w:rsidRPr="0016339B" w:rsidRDefault="0016339B" w:rsidP="0016339B">
            <w:pPr>
              <w:rPr>
                <w:rFonts w:ascii="Calibri" w:hAnsi="Calibri" w:cs="Calibri"/>
                <w:color w:val="000000"/>
              </w:rPr>
            </w:pPr>
            <w:r>
              <w:rPr>
                <w:rFonts w:ascii="Calibri" w:hAnsi="Calibri" w:cs="Calibri"/>
                <w:color w:val="000000"/>
              </w:rPr>
              <w:t>Applies if Seller will be in possession of Government property for the performance of this contract.</w:t>
            </w:r>
          </w:p>
        </w:tc>
      </w:tr>
      <w:tr w:rsidR="0016339B" w:rsidRPr="009519BD" w14:paraId="6E113621" w14:textId="77777777" w:rsidTr="00767705">
        <w:trPr>
          <w:trHeight w:val="300"/>
        </w:trPr>
        <w:tc>
          <w:tcPr>
            <w:tcW w:w="1896" w:type="dxa"/>
            <w:noWrap/>
            <w:vAlign w:val="bottom"/>
          </w:tcPr>
          <w:p w14:paraId="7CFAFB19" w14:textId="261A9F64" w:rsidR="0016339B" w:rsidRPr="009519BD" w:rsidRDefault="0016339B" w:rsidP="0016339B">
            <w:pPr>
              <w:rPr>
                <w:rFonts w:ascii="Calibri" w:eastAsia="Times New Roman" w:hAnsi="Calibri" w:cs="Calibri"/>
                <w:color w:val="000000"/>
              </w:rPr>
            </w:pPr>
            <w:r>
              <w:rPr>
                <w:rFonts w:ascii="Calibri" w:hAnsi="Calibri" w:cs="Calibri"/>
                <w:color w:val="000000"/>
              </w:rPr>
              <w:lastRenderedPageBreak/>
              <w:t xml:space="preserve">252.227-7037 </w:t>
            </w:r>
          </w:p>
        </w:tc>
        <w:tc>
          <w:tcPr>
            <w:tcW w:w="2009" w:type="dxa"/>
            <w:noWrap/>
            <w:vAlign w:val="bottom"/>
          </w:tcPr>
          <w:p w14:paraId="437FEEBC" w14:textId="472D0717" w:rsidR="0016339B" w:rsidRPr="009519BD" w:rsidRDefault="0016339B" w:rsidP="0016339B">
            <w:pPr>
              <w:rPr>
                <w:rFonts w:ascii="Calibri" w:eastAsia="Times New Roman" w:hAnsi="Calibri" w:cs="Calibri"/>
                <w:color w:val="000000"/>
              </w:rPr>
            </w:pPr>
            <w:r>
              <w:rPr>
                <w:rFonts w:ascii="Calibri" w:hAnsi="Calibri" w:cs="Calibri"/>
                <w:color w:val="000000"/>
              </w:rPr>
              <w:t>9/1/2016</w:t>
            </w:r>
          </w:p>
        </w:tc>
        <w:tc>
          <w:tcPr>
            <w:tcW w:w="2800" w:type="dxa"/>
            <w:noWrap/>
            <w:vAlign w:val="bottom"/>
          </w:tcPr>
          <w:p w14:paraId="1DF6777E" w14:textId="37C72891" w:rsidR="0016339B" w:rsidRPr="009519BD" w:rsidRDefault="0016339B" w:rsidP="0016339B">
            <w:pPr>
              <w:rPr>
                <w:rFonts w:ascii="Calibri" w:eastAsia="Times New Roman" w:hAnsi="Calibri" w:cs="Calibri"/>
                <w:color w:val="000000"/>
              </w:rPr>
            </w:pPr>
            <w:r>
              <w:rPr>
                <w:rFonts w:ascii="Calibri" w:hAnsi="Calibri" w:cs="Calibri"/>
                <w:color w:val="000000"/>
              </w:rPr>
              <w:t>Validation of Restrictive Markings on Technical Data.</w:t>
            </w:r>
          </w:p>
        </w:tc>
        <w:tc>
          <w:tcPr>
            <w:tcW w:w="2645" w:type="dxa"/>
            <w:noWrap/>
            <w:vAlign w:val="bottom"/>
          </w:tcPr>
          <w:p w14:paraId="1352E468" w14:textId="35D4542D" w:rsidR="0016339B" w:rsidRPr="009519BD" w:rsidRDefault="0016339B" w:rsidP="0016339B">
            <w:pPr>
              <w:rPr>
                <w:rFonts w:ascii="Calibri" w:eastAsia="Times New Roman" w:hAnsi="Calibri" w:cs="Calibri"/>
                <w:color w:val="000000"/>
              </w:rPr>
            </w:pPr>
          </w:p>
        </w:tc>
      </w:tr>
      <w:tr w:rsidR="0016339B" w:rsidRPr="009519BD" w14:paraId="6288782B" w14:textId="77777777" w:rsidTr="00767705">
        <w:trPr>
          <w:trHeight w:val="300"/>
        </w:trPr>
        <w:tc>
          <w:tcPr>
            <w:tcW w:w="1896" w:type="dxa"/>
            <w:noWrap/>
            <w:vAlign w:val="bottom"/>
          </w:tcPr>
          <w:p w14:paraId="1E61088F" w14:textId="41CE854F" w:rsidR="0016339B" w:rsidRDefault="0016339B" w:rsidP="0016339B">
            <w:pPr>
              <w:rPr>
                <w:rFonts w:ascii="Calibri" w:hAnsi="Calibri" w:cs="Calibri"/>
                <w:color w:val="000000"/>
              </w:rPr>
            </w:pPr>
            <w:r>
              <w:rPr>
                <w:rFonts w:ascii="Calibri" w:hAnsi="Calibri" w:cs="Calibri"/>
                <w:color w:val="000000"/>
              </w:rPr>
              <w:t xml:space="preserve">252.243-7002 </w:t>
            </w:r>
          </w:p>
        </w:tc>
        <w:tc>
          <w:tcPr>
            <w:tcW w:w="2009" w:type="dxa"/>
            <w:noWrap/>
            <w:vAlign w:val="bottom"/>
          </w:tcPr>
          <w:p w14:paraId="0B92114C" w14:textId="7D57085E" w:rsidR="0016339B" w:rsidRDefault="0016339B" w:rsidP="0016339B">
            <w:pPr>
              <w:rPr>
                <w:rFonts w:ascii="Calibri" w:hAnsi="Calibri" w:cs="Calibri"/>
                <w:color w:val="000000"/>
              </w:rPr>
            </w:pPr>
            <w:r>
              <w:rPr>
                <w:rFonts w:ascii="Calibri" w:hAnsi="Calibri" w:cs="Calibri"/>
                <w:color w:val="000000"/>
              </w:rPr>
              <w:t>12/1/2012</w:t>
            </w:r>
          </w:p>
        </w:tc>
        <w:tc>
          <w:tcPr>
            <w:tcW w:w="2800" w:type="dxa"/>
            <w:noWrap/>
            <w:vAlign w:val="bottom"/>
          </w:tcPr>
          <w:p w14:paraId="7DAE3EB0" w14:textId="1B899369" w:rsidR="0016339B" w:rsidRDefault="0016339B" w:rsidP="0016339B">
            <w:pPr>
              <w:rPr>
                <w:rFonts w:ascii="Calibri" w:hAnsi="Calibri" w:cs="Calibri"/>
                <w:color w:val="000000"/>
              </w:rPr>
            </w:pPr>
            <w:r>
              <w:rPr>
                <w:rFonts w:ascii="Calibri" w:hAnsi="Calibri" w:cs="Calibri"/>
                <w:color w:val="000000"/>
              </w:rPr>
              <w:t>Requests for Equitable Adjustment.</w:t>
            </w:r>
          </w:p>
        </w:tc>
        <w:tc>
          <w:tcPr>
            <w:tcW w:w="2645" w:type="dxa"/>
            <w:noWrap/>
            <w:vAlign w:val="bottom"/>
          </w:tcPr>
          <w:p w14:paraId="20A7DAFA" w14:textId="45BB61AB" w:rsidR="0016339B" w:rsidRPr="00353D4F" w:rsidRDefault="0016339B" w:rsidP="0016339B">
            <w:pPr>
              <w:rPr>
                <w:rFonts w:ascii="Calibri" w:hAnsi="Calibri" w:cs="Calibri"/>
                <w:color w:val="000000"/>
              </w:rPr>
            </w:pPr>
            <w:r>
              <w:rPr>
                <w:rFonts w:ascii="Calibri" w:hAnsi="Calibri" w:cs="Calibri"/>
                <w:color w:val="000000"/>
              </w:rPr>
              <w:t>"Government" means "</w:t>
            </w:r>
            <w:proofErr w:type="spellStart"/>
            <w:r>
              <w:rPr>
                <w:rFonts w:ascii="Calibri" w:hAnsi="Calibri" w:cs="Calibri"/>
                <w:color w:val="000000"/>
              </w:rPr>
              <w:t>LockheedMartin</w:t>
            </w:r>
            <w:proofErr w:type="spellEnd"/>
            <w:r>
              <w:rPr>
                <w:rFonts w:ascii="Calibri" w:hAnsi="Calibri" w:cs="Calibri"/>
                <w:color w:val="000000"/>
              </w:rPr>
              <w:t>."</w:t>
            </w:r>
          </w:p>
        </w:tc>
      </w:tr>
      <w:tr w:rsidR="0016339B" w:rsidRPr="009519BD" w14:paraId="75A2708F" w14:textId="77777777" w:rsidTr="00767705">
        <w:trPr>
          <w:trHeight w:val="300"/>
        </w:trPr>
        <w:tc>
          <w:tcPr>
            <w:tcW w:w="1896" w:type="dxa"/>
            <w:noWrap/>
            <w:vAlign w:val="bottom"/>
          </w:tcPr>
          <w:p w14:paraId="2876F12C" w14:textId="0C476EE0" w:rsidR="0016339B" w:rsidRDefault="0016339B" w:rsidP="0016339B">
            <w:pPr>
              <w:rPr>
                <w:rFonts w:ascii="Calibri" w:hAnsi="Calibri" w:cs="Calibri"/>
                <w:color w:val="000000"/>
              </w:rPr>
            </w:pPr>
            <w:r>
              <w:rPr>
                <w:rFonts w:ascii="Calibri" w:hAnsi="Calibri" w:cs="Calibri"/>
                <w:color w:val="000000"/>
              </w:rPr>
              <w:t xml:space="preserve">252.245-7001 </w:t>
            </w:r>
          </w:p>
        </w:tc>
        <w:tc>
          <w:tcPr>
            <w:tcW w:w="2009" w:type="dxa"/>
            <w:noWrap/>
            <w:vAlign w:val="bottom"/>
          </w:tcPr>
          <w:p w14:paraId="760EFFDF" w14:textId="4AD874F2" w:rsidR="0016339B" w:rsidRDefault="0016339B" w:rsidP="0016339B">
            <w:pPr>
              <w:rPr>
                <w:rFonts w:ascii="Calibri" w:hAnsi="Calibri" w:cs="Calibri"/>
                <w:color w:val="000000"/>
              </w:rPr>
            </w:pPr>
            <w:r>
              <w:rPr>
                <w:rFonts w:ascii="Calibri" w:hAnsi="Calibri" w:cs="Calibri"/>
                <w:color w:val="000000"/>
              </w:rPr>
              <w:t>4/1/2012</w:t>
            </w:r>
          </w:p>
        </w:tc>
        <w:tc>
          <w:tcPr>
            <w:tcW w:w="2800" w:type="dxa"/>
            <w:noWrap/>
            <w:vAlign w:val="bottom"/>
          </w:tcPr>
          <w:p w14:paraId="387AF484" w14:textId="641CF853" w:rsidR="0016339B" w:rsidRDefault="0016339B" w:rsidP="0016339B">
            <w:pPr>
              <w:rPr>
                <w:rFonts w:ascii="Calibri" w:hAnsi="Calibri" w:cs="Calibri"/>
                <w:color w:val="000000"/>
              </w:rPr>
            </w:pPr>
            <w:r>
              <w:rPr>
                <w:rFonts w:ascii="Calibri" w:hAnsi="Calibri" w:cs="Calibri"/>
                <w:color w:val="000000"/>
              </w:rPr>
              <w:t>Tagging, Labeling, and Marking of Government-Furnished Property.</w:t>
            </w:r>
          </w:p>
        </w:tc>
        <w:tc>
          <w:tcPr>
            <w:tcW w:w="2645" w:type="dxa"/>
            <w:noWrap/>
            <w:vAlign w:val="bottom"/>
          </w:tcPr>
          <w:p w14:paraId="60033202" w14:textId="0DC8E7C6" w:rsidR="0016339B" w:rsidRPr="00353D4F" w:rsidRDefault="0016339B" w:rsidP="0016339B">
            <w:pPr>
              <w:rPr>
                <w:rFonts w:ascii="Calibri" w:hAnsi="Calibri" w:cs="Calibri"/>
                <w:color w:val="000000"/>
              </w:rPr>
            </w:pPr>
            <w:r>
              <w:rPr>
                <w:rFonts w:ascii="Calibri" w:hAnsi="Calibri" w:cs="Calibri"/>
                <w:color w:val="000000"/>
              </w:rPr>
              <w:t>N/A</w:t>
            </w:r>
          </w:p>
        </w:tc>
      </w:tr>
      <w:tr w:rsidR="0016339B" w:rsidRPr="009519BD" w14:paraId="06507EBC" w14:textId="77777777" w:rsidTr="00767705">
        <w:trPr>
          <w:trHeight w:val="300"/>
        </w:trPr>
        <w:tc>
          <w:tcPr>
            <w:tcW w:w="1896" w:type="dxa"/>
            <w:noWrap/>
            <w:vAlign w:val="bottom"/>
          </w:tcPr>
          <w:p w14:paraId="423B8172" w14:textId="466F8668" w:rsidR="0016339B" w:rsidRDefault="0016339B" w:rsidP="0016339B">
            <w:pPr>
              <w:rPr>
                <w:rFonts w:ascii="Calibri" w:hAnsi="Calibri" w:cs="Calibri"/>
                <w:color w:val="000000"/>
              </w:rPr>
            </w:pPr>
            <w:r>
              <w:rPr>
                <w:rFonts w:ascii="Calibri" w:hAnsi="Calibri" w:cs="Calibri"/>
                <w:color w:val="000000"/>
              </w:rPr>
              <w:t xml:space="preserve">252.246-7006 </w:t>
            </w:r>
          </w:p>
        </w:tc>
        <w:tc>
          <w:tcPr>
            <w:tcW w:w="2009" w:type="dxa"/>
            <w:noWrap/>
            <w:vAlign w:val="bottom"/>
          </w:tcPr>
          <w:p w14:paraId="7FE1D16B" w14:textId="3F842018" w:rsidR="0016339B" w:rsidRDefault="0016339B" w:rsidP="0016339B">
            <w:pPr>
              <w:rPr>
                <w:rFonts w:ascii="Calibri" w:hAnsi="Calibri" w:cs="Calibri"/>
                <w:color w:val="000000"/>
              </w:rPr>
            </w:pPr>
            <w:r>
              <w:rPr>
                <w:rFonts w:ascii="Calibri" w:hAnsi="Calibri" w:cs="Calibri"/>
                <w:color w:val="000000"/>
              </w:rPr>
              <w:t>3/1/2016</w:t>
            </w:r>
          </w:p>
        </w:tc>
        <w:tc>
          <w:tcPr>
            <w:tcW w:w="2800" w:type="dxa"/>
            <w:noWrap/>
            <w:vAlign w:val="bottom"/>
          </w:tcPr>
          <w:p w14:paraId="152C025D" w14:textId="4AD00A2A" w:rsidR="0016339B" w:rsidRDefault="0016339B" w:rsidP="0016339B">
            <w:pPr>
              <w:rPr>
                <w:rFonts w:ascii="Calibri" w:hAnsi="Calibri" w:cs="Calibri"/>
                <w:color w:val="000000"/>
              </w:rPr>
            </w:pPr>
            <w:r>
              <w:rPr>
                <w:rFonts w:ascii="Calibri" w:hAnsi="Calibri" w:cs="Calibri"/>
                <w:color w:val="000000"/>
              </w:rPr>
              <w:t>Warranty Tracking of Serialized Items.</w:t>
            </w:r>
          </w:p>
        </w:tc>
        <w:tc>
          <w:tcPr>
            <w:tcW w:w="2645" w:type="dxa"/>
            <w:noWrap/>
            <w:vAlign w:val="bottom"/>
          </w:tcPr>
          <w:p w14:paraId="54637370" w14:textId="52EEA5A4" w:rsidR="0016339B" w:rsidRPr="00353D4F" w:rsidRDefault="0016339B" w:rsidP="0016339B">
            <w:pPr>
              <w:rPr>
                <w:rFonts w:ascii="Calibri" w:hAnsi="Calibri" w:cs="Calibri"/>
                <w:color w:val="000000"/>
              </w:rPr>
            </w:pPr>
            <w:r>
              <w:rPr>
                <w:rFonts w:ascii="Calibri" w:hAnsi="Calibri" w:cs="Calibri"/>
                <w:color w:val="000000"/>
              </w:rPr>
              <w:t>N/A</w:t>
            </w:r>
          </w:p>
        </w:tc>
      </w:tr>
      <w:tr w:rsidR="0016339B" w:rsidRPr="009519BD" w14:paraId="4D1DA161" w14:textId="77777777" w:rsidTr="00767705">
        <w:trPr>
          <w:trHeight w:val="300"/>
        </w:trPr>
        <w:tc>
          <w:tcPr>
            <w:tcW w:w="1896" w:type="dxa"/>
            <w:noWrap/>
            <w:vAlign w:val="bottom"/>
          </w:tcPr>
          <w:p w14:paraId="591AAD1D" w14:textId="2A22D81B" w:rsidR="0016339B" w:rsidRDefault="0016339B" w:rsidP="0016339B">
            <w:pPr>
              <w:rPr>
                <w:rFonts w:ascii="Calibri" w:hAnsi="Calibri" w:cs="Calibri"/>
                <w:color w:val="000000"/>
              </w:rPr>
            </w:pPr>
            <w:r>
              <w:rPr>
                <w:rFonts w:ascii="Calibri" w:hAnsi="Calibri" w:cs="Calibri"/>
                <w:color w:val="000000"/>
              </w:rPr>
              <w:t xml:space="preserve">52.204-27 </w:t>
            </w:r>
          </w:p>
        </w:tc>
        <w:tc>
          <w:tcPr>
            <w:tcW w:w="2009" w:type="dxa"/>
            <w:noWrap/>
            <w:vAlign w:val="bottom"/>
          </w:tcPr>
          <w:p w14:paraId="6F7021ED" w14:textId="15C95E66" w:rsidR="0016339B" w:rsidRDefault="0016339B" w:rsidP="0016339B">
            <w:pPr>
              <w:rPr>
                <w:rFonts w:ascii="Calibri" w:hAnsi="Calibri" w:cs="Calibri"/>
                <w:color w:val="000000"/>
              </w:rPr>
            </w:pPr>
            <w:r>
              <w:rPr>
                <w:rFonts w:ascii="Calibri" w:hAnsi="Calibri" w:cs="Calibri"/>
                <w:color w:val="000000"/>
              </w:rPr>
              <w:t>6/1/2023</w:t>
            </w:r>
          </w:p>
        </w:tc>
        <w:tc>
          <w:tcPr>
            <w:tcW w:w="2800" w:type="dxa"/>
            <w:noWrap/>
            <w:vAlign w:val="bottom"/>
          </w:tcPr>
          <w:p w14:paraId="3BD26C9F" w14:textId="693739AE" w:rsidR="0016339B" w:rsidRDefault="0016339B" w:rsidP="0016339B">
            <w:pPr>
              <w:rPr>
                <w:rFonts w:ascii="Calibri"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vAlign w:val="bottom"/>
          </w:tcPr>
          <w:p w14:paraId="129DDC6B" w14:textId="285557AD" w:rsidR="0016339B" w:rsidRPr="00353D4F" w:rsidRDefault="0016339B" w:rsidP="0016339B">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0733" w14:textId="77777777" w:rsidR="002564E4" w:rsidRDefault="002564E4" w:rsidP="006B2C64">
      <w:pPr>
        <w:spacing w:after="0" w:line="240" w:lineRule="auto"/>
      </w:pPr>
      <w:r>
        <w:separator/>
      </w:r>
    </w:p>
  </w:endnote>
  <w:endnote w:type="continuationSeparator" w:id="0">
    <w:p w14:paraId="0D436D07" w14:textId="77777777" w:rsidR="002564E4" w:rsidRDefault="002564E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AC21" w14:textId="77777777" w:rsidR="00C76287" w:rsidRDefault="00C76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B3DA" w14:textId="77777777" w:rsidR="00C76287" w:rsidRDefault="00C76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3F60" w14:textId="77777777" w:rsidR="00C76287" w:rsidRDefault="00C76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665A" w14:textId="77777777" w:rsidR="002564E4" w:rsidRDefault="002564E4" w:rsidP="006B2C64">
      <w:pPr>
        <w:spacing w:after="0" w:line="240" w:lineRule="auto"/>
      </w:pPr>
      <w:r>
        <w:separator/>
      </w:r>
    </w:p>
  </w:footnote>
  <w:footnote w:type="continuationSeparator" w:id="0">
    <w:p w14:paraId="616F63D0" w14:textId="77777777" w:rsidR="002564E4" w:rsidRDefault="002564E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8DCF" w14:textId="77777777" w:rsidR="00C76287" w:rsidRDefault="00C76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66D7DD58" w:rsidR="0099147E" w:rsidRPr="0016339B" w:rsidRDefault="0016339B" w:rsidP="0016339B">
    <w:pPr>
      <w:pStyle w:val="Header"/>
    </w:pPr>
    <w:r w:rsidRPr="0016339B">
      <w:t>N64498-20-D-0009 01312024</w:t>
    </w:r>
    <w:r w:rsidR="00C76287">
      <w:t xml:space="preserve"> Rev 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00F0" w14:textId="77777777" w:rsidR="00C76287" w:rsidRDefault="00C76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0F65F2"/>
    <w:rsid w:val="00120E31"/>
    <w:rsid w:val="0016339B"/>
    <w:rsid w:val="001A575E"/>
    <w:rsid w:val="001A6E1B"/>
    <w:rsid w:val="0023764A"/>
    <w:rsid w:val="002564E4"/>
    <w:rsid w:val="002D0175"/>
    <w:rsid w:val="002D1E88"/>
    <w:rsid w:val="00353D4F"/>
    <w:rsid w:val="00361ED4"/>
    <w:rsid w:val="00395939"/>
    <w:rsid w:val="003F1B84"/>
    <w:rsid w:val="00402A24"/>
    <w:rsid w:val="00410CDD"/>
    <w:rsid w:val="00444982"/>
    <w:rsid w:val="004618F7"/>
    <w:rsid w:val="0051639F"/>
    <w:rsid w:val="005262F0"/>
    <w:rsid w:val="00534F05"/>
    <w:rsid w:val="00586BF7"/>
    <w:rsid w:val="005A2DAB"/>
    <w:rsid w:val="005E4F19"/>
    <w:rsid w:val="00604FEE"/>
    <w:rsid w:val="00666D8F"/>
    <w:rsid w:val="006A2C9F"/>
    <w:rsid w:val="006B2C64"/>
    <w:rsid w:val="006C2B3E"/>
    <w:rsid w:val="007109BC"/>
    <w:rsid w:val="00740EE9"/>
    <w:rsid w:val="00793130"/>
    <w:rsid w:val="0079416D"/>
    <w:rsid w:val="007B1546"/>
    <w:rsid w:val="007F7C59"/>
    <w:rsid w:val="00803531"/>
    <w:rsid w:val="00883C39"/>
    <w:rsid w:val="008A1587"/>
    <w:rsid w:val="00912CF7"/>
    <w:rsid w:val="00912E1F"/>
    <w:rsid w:val="009519BD"/>
    <w:rsid w:val="0097377B"/>
    <w:rsid w:val="0099147E"/>
    <w:rsid w:val="009A7979"/>
    <w:rsid w:val="009D6EA3"/>
    <w:rsid w:val="009E43F1"/>
    <w:rsid w:val="009F52A3"/>
    <w:rsid w:val="00A54AE8"/>
    <w:rsid w:val="00A77C21"/>
    <w:rsid w:val="00A96021"/>
    <w:rsid w:val="00AC6AB1"/>
    <w:rsid w:val="00AF6A4A"/>
    <w:rsid w:val="00B17BC6"/>
    <w:rsid w:val="00B23BB2"/>
    <w:rsid w:val="00B33534"/>
    <w:rsid w:val="00B41C6E"/>
    <w:rsid w:val="00B4750E"/>
    <w:rsid w:val="00BB3D92"/>
    <w:rsid w:val="00BB4248"/>
    <w:rsid w:val="00C76287"/>
    <w:rsid w:val="00C82C72"/>
    <w:rsid w:val="00CA2CFC"/>
    <w:rsid w:val="00CB0D70"/>
    <w:rsid w:val="00CD5905"/>
    <w:rsid w:val="00CE497A"/>
    <w:rsid w:val="00D15F0F"/>
    <w:rsid w:val="00DF32AA"/>
    <w:rsid w:val="00E032AB"/>
    <w:rsid w:val="00E339BA"/>
    <w:rsid w:val="00E830AF"/>
    <w:rsid w:val="00EA3370"/>
    <w:rsid w:val="00EF6977"/>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734">
      <w:bodyDiv w:val="1"/>
      <w:marLeft w:val="0"/>
      <w:marRight w:val="0"/>
      <w:marTop w:val="0"/>
      <w:marBottom w:val="0"/>
      <w:divBdr>
        <w:top w:val="none" w:sz="0" w:space="0" w:color="auto"/>
        <w:left w:val="none" w:sz="0" w:space="0" w:color="auto"/>
        <w:bottom w:val="none" w:sz="0" w:space="0" w:color="auto"/>
        <w:right w:val="none" w:sz="0" w:space="0" w:color="auto"/>
      </w:divBdr>
    </w:div>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189731057">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376852169">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44946263">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672608071">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0554969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45318403">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559247911">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1889257">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Hudak, Steve (US)</cp:lastModifiedBy>
  <cp:revision>2</cp:revision>
  <dcterms:created xsi:type="dcterms:W3CDTF">2024-01-31T20:25:00Z</dcterms:created>
  <dcterms:modified xsi:type="dcterms:W3CDTF">2024-01-31T20:25:00Z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