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32FED" w14:textId="77777777" w:rsidR="008F0F15" w:rsidRPr="00376E72" w:rsidRDefault="00D02419" w:rsidP="008F0F15">
      <w:pPr>
        <w:pStyle w:val="Default"/>
        <w:rPr>
          <w:color w:val="auto"/>
          <w:sz w:val="22"/>
          <w:szCs w:val="22"/>
        </w:rPr>
      </w:pPr>
      <w:r>
        <w:rPr>
          <w:b/>
          <w:bCs/>
          <w:color w:val="auto"/>
          <w:sz w:val="22"/>
          <w:szCs w:val="22"/>
        </w:rPr>
        <w:t>AEGIS Production</w:t>
      </w:r>
      <w:r w:rsidR="00C95D37">
        <w:rPr>
          <w:b/>
          <w:bCs/>
          <w:color w:val="auto"/>
          <w:sz w:val="22"/>
          <w:szCs w:val="22"/>
        </w:rPr>
        <w:t xml:space="preserve"> </w:t>
      </w:r>
      <w:r w:rsidR="008F0F15" w:rsidRPr="00376E72">
        <w:rPr>
          <w:b/>
          <w:bCs/>
          <w:color w:val="auto"/>
          <w:sz w:val="22"/>
          <w:szCs w:val="22"/>
        </w:rPr>
        <w:t xml:space="preserve">Prime </w:t>
      </w:r>
      <w:proofErr w:type="spellStart"/>
      <w:r w:rsidR="008F0F15" w:rsidRPr="00376E72">
        <w:rPr>
          <w:b/>
          <w:bCs/>
          <w:color w:val="auto"/>
          <w:sz w:val="22"/>
          <w:szCs w:val="22"/>
        </w:rPr>
        <w:t>Flowdowns</w:t>
      </w:r>
      <w:proofErr w:type="spellEnd"/>
      <w:r w:rsidR="008F0F15" w:rsidRPr="00376E72">
        <w:rPr>
          <w:b/>
          <w:bCs/>
          <w:color w:val="auto"/>
          <w:sz w:val="22"/>
          <w:szCs w:val="22"/>
        </w:rPr>
        <w:t xml:space="preserve"> </w:t>
      </w:r>
    </w:p>
    <w:p w14:paraId="5962902E" w14:textId="77777777" w:rsidR="008F0F15" w:rsidRPr="00C95D37" w:rsidRDefault="008F0F15" w:rsidP="008F0F15">
      <w:pPr>
        <w:pStyle w:val="Default"/>
        <w:rPr>
          <w:color w:val="auto"/>
          <w:sz w:val="22"/>
          <w:szCs w:val="22"/>
        </w:rPr>
      </w:pPr>
      <w:r>
        <w:rPr>
          <w:b/>
          <w:bCs/>
          <w:sz w:val="22"/>
          <w:szCs w:val="22"/>
        </w:rPr>
        <w:t xml:space="preserve">Description: Supplemental T’s and </w:t>
      </w:r>
      <w:r w:rsidRPr="00376E72">
        <w:rPr>
          <w:b/>
          <w:bCs/>
          <w:color w:val="auto"/>
          <w:sz w:val="22"/>
          <w:szCs w:val="22"/>
        </w:rPr>
        <w:t xml:space="preserve">C’s for </w:t>
      </w:r>
      <w:r w:rsidR="00D02419">
        <w:rPr>
          <w:b/>
          <w:bCs/>
          <w:color w:val="auto"/>
          <w:sz w:val="22"/>
          <w:szCs w:val="22"/>
        </w:rPr>
        <w:t xml:space="preserve">AEGIS Production </w:t>
      </w:r>
      <w:r w:rsidR="00C95D37" w:rsidRPr="00376E72">
        <w:rPr>
          <w:b/>
          <w:bCs/>
          <w:color w:val="auto"/>
          <w:sz w:val="22"/>
          <w:szCs w:val="22"/>
        </w:rPr>
        <w:t xml:space="preserve">Prime </w:t>
      </w:r>
      <w:proofErr w:type="spellStart"/>
      <w:r w:rsidR="00C95D37" w:rsidRPr="00376E72">
        <w:rPr>
          <w:b/>
          <w:bCs/>
          <w:color w:val="auto"/>
          <w:sz w:val="22"/>
          <w:szCs w:val="22"/>
        </w:rPr>
        <w:t>Flowdowns</w:t>
      </w:r>
      <w:proofErr w:type="spellEnd"/>
      <w:r w:rsidR="00C95D37" w:rsidRPr="00376E72">
        <w:rPr>
          <w:b/>
          <w:bCs/>
          <w:color w:val="auto"/>
          <w:sz w:val="22"/>
          <w:szCs w:val="22"/>
        </w:rPr>
        <w:t xml:space="preserve"> </w:t>
      </w:r>
    </w:p>
    <w:p w14:paraId="354222EE" w14:textId="77777777" w:rsidR="008F0F15" w:rsidRDefault="008F0F15" w:rsidP="008F0F15">
      <w:pPr>
        <w:pStyle w:val="Default"/>
        <w:rPr>
          <w:b/>
          <w:bCs/>
          <w:sz w:val="22"/>
          <w:szCs w:val="22"/>
        </w:rPr>
      </w:pPr>
    </w:p>
    <w:p w14:paraId="4542E5B8" w14:textId="77777777" w:rsidR="008F0F15" w:rsidRDefault="00376E72" w:rsidP="008F0F15">
      <w:pPr>
        <w:pStyle w:val="Default"/>
        <w:rPr>
          <w:sz w:val="22"/>
          <w:szCs w:val="22"/>
        </w:rPr>
      </w:pPr>
      <w:r>
        <w:rPr>
          <w:b/>
          <w:bCs/>
          <w:sz w:val="22"/>
          <w:szCs w:val="22"/>
        </w:rPr>
        <w:t>Contract Number</w:t>
      </w:r>
      <w:r w:rsidR="00D02419">
        <w:rPr>
          <w:b/>
          <w:bCs/>
          <w:sz w:val="22"/>
          <w:szCs w:val="22"/>
        </w:rPr>
        <w:t>s</w:t>
      </w:r>
      <w:r w:rsidR="008F0F15">
        <w:rPr>
          <w:b/>
          <w:bCs/>
          <w:sz w:val="22"/>
          <w:szCs w:val="22"/>
        </w:rPr>
        <w:t xml:space="preserve">: </w:t>
      </w:r>
    </w:p>
    <w:p w14:paraId="327394D8" w14:textId="7CB5F585" w:rsidR="008F0F15" w:rsidRDefault="00D70BEB" w:rsidP="008F0F15">
      <w:pPr>
        <w:autoSpaceDE w:val="0"/>
        <w:autoSpaceDN w:val="0"/>
        <w:rPr>
          <w:b/>
          <w:bCs/>
        </w:rPr>
      </w:pPr>
      <w:r w:rsidRPr="00376E72">
        <w:rPr>
          <w:b/>
          <w:bCs/>
        </w:rPr>
        <w:t>N00024-</w:t>
      </w:r>
      <w:r>
        <w:rPr>
          <w:b/>
          <w:bCs/>
        </w:rPr>
        <w:t>20</w:t>
      </w:r>
      <w:r w:rsidRPr="00376E72">
        <w:rPr>
          <w:b/>
          <w:bCs/>
        </w:rPr>
        <w:t>-C-51</w:t>
      </w:r>
      <w:r>
        <w:rPr>
          <w:b/>
          <w:bCs/>
        </w:rPr>
        <w:t>01 /</w:t>
      </w:r>
      <w:r w:rsidR="00376E72" w:rsidRPr="00376E72">
        <w:rPr>
          <w:b/>
          <w:bCs/>
        </w:rPr>
        <w:t>N00024-14-C-5106</w:t>
      </w:r>
      <w:r w:rsidR="00D02419">
        <w:rPr>
          <w:b/>
          <w:bCs/>
        </w:rPr>
        <w:t xml:space="preserve"> / </w:t>
      </w:r>
      <w:r w:rsidR="00D02419" w:rsidRPr="00D02419">
        <w:rPr>
          <w:b/>
          <w:bCs/>
        </w:rPr>
        <w:t>N00024-14-C-5114</w:t>
      </w:r>
      <w:r w:rsidR="00686C86">
        <w:rPr>
          <w:b/>
          <w:bCs/>
        </w:rPr>
        <w:t xml:space="preserve"> </w:t>
      </w:r>
      <w:r w:rsidR="00D46B41">
        <w:rPr>
          <w:b/>
          <w:bCs/>
        </w:rPr>
        <w:t>/</w:t>
      </w:r>
      <w:r w:rsidR="00686C86">
        <w:rPr>
          <w:b/>
          <w:bCs/>
        </w:rPr>
        <w:t xml:space="preserve"> </w:t>
      </w:r>
      <w:r w:rsidR="00D46B41" w:rsidRPr="00D46B41">
        <w:rPr>
          <w:b/>
          <w:bCs/>
        </w:rPr>
        <w:t>N00024-17-G-5100</w:t>
      </w:r>
    </w:p>
    <w:p w14:paraId="1721E382" w14:textId="77777777" w:rsidR="00376E72" w:rsidRDefault="00376E72" w:rsidP="008F0F15">
      <w:pPr>
        <w:autoSpaceDE w:val="0"/>
        <w:autoSpaceDN w:val="0"/>
        <w:rPr>
          <w:b/>
          <w:bCs/>
        </w:rPr>
      </w:pPr>
    </w:p>
    <w:p w14:paraId="0A21BF2E" w14:textId="69830A59" w:rsidR="00AB4316" w:rsidRPr="00C60F7E" w:rsidRDefault="00AB4316" w:rsidP="00AB4316">
      <w:pPr>
        <w:autoSpaceDE w:val="0"/>
        <w:autoSpaceDN w:val="0"/>
        <w:rPr>
          <w:rFonts w:asciiTheme="minorHAnsi" w:hAnsiTheme="minorHAnsi" w:cstheme="minorHAnsi"/>
          <w:b/>
          <w:bCs/>
          <w:sz w:val="20"/>
          <w:szCs w:val="20"/>
        </w:rPr>
      </w:pPr>
      <w:r w:rsidRPr="00C60F7E">
        <w:rPr>
          <w:rFonts w:asciiTheme="minorHAnsi" w:hAnsiTheme="minorHAnsi" w:cstheme="minorHAnsi"/>
          <w:b/>
          <w:bCs/>
          <w:sz w:val="20"/>
          <w:szCs w:val="20"/>
        </w:rPr>
        <w:t xml:space="preserve">GIDEP </w:t>
      </w:r>
      <w:r w:rsidR="00C60F7E" w:rsidRPr="00C60F7E">
        <w:rPr>
          <w:rFonts w:asciiTheme="minorHAnsi" w:hAnsiTheme="minorHAnsi" w:cstheme="minorHAnsi"/>
          <w:b/>
          <w:bCs/>
          <w:sz w:val="20"/>
          <w:szCs w:val="20"/>
        </w:rPr>
        <w:t>GOVERNMENT-INDUSTRY DATA EXCHNAGE PROGRAM</w:t>
      </w:r>
    </w:p>
    <w:p w14:paraId="4BB01017"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5252.227-9113 GOVERNMENT-INDUSTRY DATA EXCHNAGE PROGRAM (OCT 2006)</w:t>
      </w:r>
    </w:p>
    <w:p w14:paraId="3C662E07"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(A) The Subcontractor shall participate in the Government-Industry Data Exchange Program (GIDEP) if the resulting awarded Lockheed Martin purchase order has exceeded $500,000.00.</w:t>
      </w:r>
    </w:p>
    <w:p w14:paraId="37009D0F"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(B) The Subcontractor shall participate in the appropriate interchange of the Government-Industry Data Exchange Program (GIDEP) in accordance with NAVSEA 50300-BU-GYD-010 dated November 1994. Data entered is retained by the program and provided to qualified participants. Compliance with this requirement shall not relieve the Subcontractor from complying with any other requirement of the contract</w:t>
      </w:r>
    </w:p>
    <w:p w14:paraId="2D960C1C"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(c) GIDEP materials, software and information are available without charge from:</w:t>
      </w:r>
    </w:p>
    <w:p w14:paraId="705B68D5" w14:textId="77777777" w:rsidR="00AB4316" w:rsidRPr="004F7F71" w:rsidRDefault="00AB4316" w:rsidP="00AB4316">
      <w:pPr>
        <w:autoSpaceDE w:val="0"/>
        <w:autoSpaceDN w:val="0"/>
        <w:rPr>
          <w:rFonts w:asciiTheme="minorHAnsi" w:hAnsiTheme="minorHAnsi" w:cstheme="minorHAnsi"/>
          <w:i/>
          <w:iCs/>
          <w:sz w:val="20"/>
          <w:szCs w:val="20"/>
        </w:rPr>
      </w:pPr>
    </w:p>
    <w:p w14:paraId="7DD1AB56"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GIDEP</w:t>
      </w:r>
    </w:p>
    <w:p w14:paraId="6FA6FB19"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P.O. Box 8000</w:t>
      </w:r>
    </w:p>
    <w:p w14:paraId="73FBEDD5" w14:textId="77777777" w:rsidR="00AB4316" w:rsidRPr="004F7F71" w:rsidRDefault="00AB4316" w:rsidP="00AB4316">
      <w:pPr>
        <w:autoSpaceDE w:val="0"/>
        <w:autoSpaceDN w:val="0"/>
        <w:rPr>
          <w:rFonts w:asciiTheme="minorHAnsi" w:hAnsiTheme="minorHAnsi" w:cstheme="minorHAnsi"/>
          <w:i/>
          <w:iCs/>
          <w:sz w:val="20"/>
          <w:szCs w:val="20"/>
        </w:rPr>
      </w:pPr>
      <w:r w:rsidRPr="004F7F71">
        <w:rPr>
          <w:rFonts w:asciiTheme="minorHAnsi" w:hAnsiTheme="minorHAnsi" w:cstheme="minorHAnsi"/>
          <w:i/>
          <w:iCs/>
          <w:sz w:val="20"/>
          <w:szCs w:val="20"/>
        </w:rPr>
        <w:t>Corona, CA 92878-8000</w:t>
      </w:r>
    </w:p>
    <w:p w14:paraId="22DFF90B" w14:textId="77777777" w:rsidR="00AB4316" w:rsidRPr="004F7F71" w:rsidRDefault="00AB4316" w:rsidP="00AB4316">
      <w:pPr>
        <w:autoSpaceDE w:val="0"/>
        <w:autoSpaceDN w:val="0"/>
        <w:rPr>
          <w:rFonts w:asciiTheme="minorHAnsi" w:hAnsiTheme="minorHAnsi" w:cstheme="minorHAnsi"/>
          <w:i/>
          <w:iCs/>
          <w:sz w:val="20"/>
          <w:szCs w:val="20"/>
          <w:lang w:val="fr-FR"/>
        </w:rPr>
      </w:pPr>
      <w:r w:rsidRPr="004F7F71">
        <w:rPr>
          <w:rFonts w:asciiTheme="minorHAnsi" w:hAnsiTheme="minorHAnsi" w:cstheme="minorHAnsi"/>
          <w:i/>
          <w:iCs/>
          <w:sz w:val="20"/>
          <w:szCs w:val="20"/>
          <w:lang w:val="fr-FR"/>
        </w:rPr>
        <w:t>Phone: (951) 898-3207</w:t>
      </w:r>
    </w:p>
    <w:p w14:paraId="0561EDCC" w14:textId="77777777" w:rsidR="00AB4316" w:rsidRPr="004F7F71" w:rsidRDefault="00AB4316" w:rsidP="00AB4316">
      <w:pPr>
        <w:autoSpaceDE w:val="0"/>
        <w:autoSpaceDN w:val="0"/>
        <w:rPr>
          <w:rFonts w:asciiTheme="minorHAnsi" w:hAnsiTheme="minorHAnsi" w:cstheme="minorHAnsi"/>
          <w:i/>
          <w:iCs/>
          <w:sz w:val="20"/>
          <w:szCs w:val="20"/>
          <w:lang w:val="fr-FR"/>
        </w:rPr>
      </w:pPr>
      <w:r w:rsidRPr="004F7F71">
        <w:rPr>
          <w:rFonts w:asciiTheme="minorHAnsi" w:hAnsiTheme="minorHAnsi" w:cstheme="minorHAnsi"/>
          <w:i/>
          <w:iCs/>
          <w:sz w:val="20"/>
          <w:szCs w:val="20"/>
          <w:lang w:val="fr-FR"/>
        </w:rPr>
        <w:t>FAX: (951) 898-3250</w:t>
      </w:r>
    </w:p>
    <w:p w14:paraId="18EC5393" w14:textId="77777777" w:rsidR="00AB4316" w:rsidRPr="004F7F71" w:rsidRDefault="00AB4316" w:rsidP="00AB4316">
      <w:pPr>
        <w:rPr>
          <w:rFonts w:asciiTheme="minorHAnsi" w:hAnsiTheme="minorHAnsi" w:cstheme="minorHAnsi"/>
          <w:i/>
          <w:iCs/>
          <w:sz w:val="20"/>
          <w:szCs w:val="20"/>
          <w:lang w:val="fr-FR"/>
        </w:rPr>
      </w:pPr>
      <w:r w:rsidRPr="004F7F71">
        <w:rPr>
          <w:rFonts w:asciiTheme="minorHAnsi" w:hAnsiTheme="minorHAnsi" w:cstheme="minorHAnsi"/>
          <w:i/>
          <w:iCs/>
          <w:sz w:val="20"/>
          <w:szCs w:val="20"/>
          <w:lang w:val="fr-FR"/>
        </w:rPr>
        <w:t xml:space="preserve">Internet: </w:t>
      </w:r>
      <w:hyperlink r:id="rId7" w:history="1">
        <w:r w:rsidRPr="004F7F71">
          <w:rPr>
            <w:rStyle w:val="Hyperlink"/>
            <w:rFonts w:asciiTheme="minorHAnsi" w:hAnsiTheme="minorHAnsi" w:cstheme="minorHAnsi"/>
            <w:i/>
            <w:iCs/>
            <w:sz w:val="20"/>
            <w:szCs w:val="20"/>
            <w:lang w:val="fr-FR"/>
          </w:rPr>
          <w:t>http://www.gidep.org</w:t>
        </w:r>
      </w:hyperlink>
    </w:p>
    <w:p w14:paraId="3D4EE52D" w14:textId="77777777" w:rsidR="00AB4316" w:rsidRPr="00706EEA" w:rsidRDefault="00AB4316" w:rsidP="00AB4316">
      <w:pPr>
        <w:rPr>
          <w:rFonts w:asciiTheme="minorHAnsi" w:hAnsiTheme="minorHAnsi" w:cstheme="minorHAnsi"/>
          <w:b/>
          <w:bCs/>
          <w:i/>
          <w:iCs/>
          <w:color w:val="1F497D"/>
          <w:sz w:val="20"/>
          <w:szCs w:val="20"/>
          <w:lang w:val="fr-FR"/>
        </w:rPr>
      </w:pPr>
    </w:p>
    <w:p w14:paraId="16BAC0B9" w14:textId="3C028866" w:rsidR="00AB4316" w:rsidRDefault="00AB4316" w:rsidP="00AB4316">
      <w:pPr>
        <w:rPr>
          <w:b/>
          <w:bCs/>
          <w:sz w:val="20"/>
          <w:szCs w:val="20"/>
        </w:rPr>
      </w:pPr>
      <w:r w:rsidRPr="00706EEA">
        <w:rPr>
          <w:rFonts w:asciiTheme="minorHAnsi" w:hAnsiTheme="minorHAnsi" w:cstheme="minorHAnsi"/>
          <w:b/>
          <w:bCs/>
          <w:sz w:val="20"/>
          <w:szCs w:val="20"/>
        </w:rPr>
        <w:t xml:space="preserve">Mercury Exclusion </w:t>
      </w:r>
      <w:r w:rsidRPr="00706EEA">
        <w:rPr>
          <w:rFonts w:asciiTheme="minorHAnsi" w:hAnsiTheme="minorHAnsi" w:cstheme="minorHAnsi"/>
          <w:b/>
          <w:bCs/>
          <w:color w:val="1F497D"/>
          <w:sz w:val="20"/>
          <w:szCs w:val="20"/>
        </w:rPr>
        <w:t xml:space="preserve">- </w:t>
      </w:r>
      <w:r w:rsidR="00706EEA" w:rsidRPr="00706EEA">
        <w:rPr>
          <w:b/>
          <w:bCs/>
          <w:sz w:val="20"/>
          <w:szCs w:val="20"/>
        </w:rPr>
        <w:t>C-223-H003 EXCLUSION OF MERCURY (MAR 2019)</w:t>
      </w:r>
    </w:p>
    <w:p w14:paraId="48378965" w14:textId="159EC774" w:rsidR="002470CF" w:rsidRDefault="002470CF" w:rsidP="00AB4316">
      <w:pPr>
        <w:rPr>
          <w:b/>
          <w:bCs/>
          <w:sz w:val="20"/>
          <w:szCs w:val="20"/>
        </w:rPr>
      </w:pPr>
    </w:p>
    <w:p w14:paraId="075665DD" w14:textId="66387B48" w:rsidR="002470CF" w:rsidRPr="00BC0A1F" w:rsidRDefault="002470CF" w:rsidP="002470CF">
      <w:pPr>
        <w:pStyle w:val="ListParagraph"/>
        <w:numPr>
          <w:ilvl w:val="0"/>
          <w:numId w:val="5"/>
        </w:numPr>
        <w:rPr>
          <w:rFonts w:cstheme="minorHAnsi"/>
          <w:b/>
          <w:bCs/>
          <w:sz w:val="20"/>
          <w:szCs w:val="20"/>
        </w:rPr>
      </w:pPr>
      <w:r>
        <w:rPr>
          <w:sz w:val="20"/>
          <w:szCs w:val="20"/>
        </w:rPr>
        <w:t>S</w:t>
      </w:r>
      <w:r w:rsidRPr="002470CF">
        <w:rPr>
          <w:sz w:val="20"/>
          <w:szCs w:val="20"/>
        </w:rPr>
        <w:t>ubcontractors shall ensure that mercury or mercury containing compounds are not added to, or come in direct contact with, hardware or supplies furnished under this contract.</w:t>
      </w:r>
    </w:p>
    <w:p w14:paraId="1FDE6954" w14:textId="56380DB8" w:rsidR="00BC0A1F" w:rsidRPr="00A62437" w:rsidRDefault="000978FF" w:rsidP="002470CF">
      <w:pPr>
        <w:pStyle w:val="ListParagraph"/>
        <w:numPr>
          <w:ilvl w:val="0"/>
          <w:numId w:val="5"/>
        </w:numPr>
        <w:rPr>
          <w:rFonts w:cstheme="minorHAnsi"/>
          <w:b/>
          <w:bCs/>
          <w:sz w:val="20"/>
          <w:szCs w:val="20"/>
        </w:rPr>
      </w:pPr>
      <w:r>
        <w:rPr>
          <w:sz w:val="20"/>
          <w:szCs w:val="20"/>
        </w:rPr>
        <w:t>For services, the</w:t>
      </w:r>
      <w:r w:rsidR="00BC0A1F">
        <w:rPr>
          <w:sz w:val="20"/>
          <w:szCs w:val="20"/>
        </w:rPr>
        <w:t xml:space="preserve"> subcontractor shall ensure that mercury and mercury compounds are not taken onboard naval vessels except for functional mercury used in batteries, dental amalgams, fluorescent lamps, flat-panel monitors, required instruments, sensors or controls, weapon systems, and chemical analysis reagents specified by the Naval Sea Systems Command (NAVSEA).</w:t>
      </w:r>
    </w:p>
    <w:p w14:paraId="25EC5DA4" w14:textId="77777777" w:rsidR="00A62437" w:rsidRPr="00A62437" w:rsidRDefault="00A62437" w:rsidP="002470CF">
      <w:pPr>
        <w:pStyle w:val="ListParagraph"/>
        <w:numPr>
          <w:ilvl w:val="0"/>
          <w:numId w:val="5"/>
        </w:numPr>
        <w:rPr>
          <w:rFonts w:cstheme="minorHAnsi"/>
          <w:b/>
          <w:bCs/>
          <w:sz w:val="20"/>
          <w:szCs w:val="20"/>
        </w:rPr>
      </w:pPr>
      <w:r>
        <w:rPr>
          <w:sz w:val="20"/>
          <w:szCs w:val="20"/>
        </w:rPr>
        <w:t>Portable fluorescent lamps and portable instruments containing elemental mercury must be shock-proof in accordance with MIL-DTL-901E entitled Requirements for Shock Tests, H.I. (High Impact) Shipboard Machinery, Equipment, and Systems and have mercury enclosed by a double boundary of containment.</w:t>
      </w:r>
    </w:p>
    <w:p w14:paraId="31F6FA7C" w14:textId="2956FA1F" w:rsidR="00A62437" w:rsidRPr="002470CF" w:rsidRDefault="00A62437" w:rsidP="002470CF">
      <w:pPr>
        <w:pStyle w:val="ListParagraph"/>
        <w:numPr>
          <w:ilvl w:val="0"/>
          <w:numId w:val="5"/>
        </w:numPr>
        <w:rPr>
          <w:rFonts w:cstheme="minorHAnsi"/>
          <w:b/>
          <w:bCs/>
          <w:sz w:val="20"/>
          <w:szCs w:val="20"/>
        </w:rPr>
      </w:pPr>
      <w:r>
        <w:rPr>
          <w:sz w:val="20"/>
          <w:szCs w:val="20"/>
        </w:rPr>
        <w:t>Some devices with liquid crystal display (LCD) screens utilize a fluorescent bulb backlight to illuminate the LCD screen. No additional restrictions or controls apply to devices with LCD screens; however, the subcontractor shall remove the LCD screen and seal it in plastic following any evidence that the backlight failed.</w:t>
      </w:r>
    </w:p>
    <w:p w14:paraId="158036BA" w14:textId="77777777" w:rsidR="00FB4659" w:rsidRPr="004F7F71" w:rsidRDefault="00FB4659" w:rsidP="00AB4316">
      <w:pPr>
        <w:rPr>
          <w:rFonts w:asciiTheme="minorHAnsi" w:hAnsiTheme="minorHAnsi" w:cstheme="minorHAnsi"/>
          <w:sz w:val="20"/>
          <w:szCs w:val="20"/>
        </w:rPr>
      </w:pPr>
    </w:p>
    <w:p w14:paraId="07954660" w14:textId="77777777" w:rsidR="00AB4316" w:rsidRPr="004F7F71" w:rsidRDefault="00AB4316" w:rsidP="00AB4316">
      <w:pPr>
        <w:rPr>
          <w:rFonts w:asciiTheme="minorHAnsi" w:hAnsiTheme="minorHAnsi" w:cstheme="minorHAnsi"/>
          <w:b/>
          <w:bCs/>
          <w:sz w:val="20"/>
          <w:szCs w:val="20"/>
        </w:rPr>
      </w:pPr>
    </w:p>
    <w:p w14:paraId="7DC0553B" w14:textId="77777777" w:rsidR="00697921" w:rsidRPr="004F7F71" w:rsidRDefault="00697921" w:rsidP="00697921">
      <w:pPr>
        <w:rPr>
          <w:rFonts w:asciiTheme="minorHAnsi" w:eastAsia="Times New Roman" w:hAnsiTheme="minorHAnsi" w:cstheme="minorHAnsi"/>
          <w:color w:val="000000"/>
          <w:sz w:val="20"/>
          <w:szCs w:val="20"/>
        </w:rPr>
      </w:pPr>
    </w:p>
    <w:p w14:paraId="5692C5F9" w14:textId="1F62DF63" w:rsidR="00697921" w:rsidRPr="004F7F71" w:rsidRDefault="00697921" w:rsidP="00697921">
      <w:pPr>
        <w:rPr>
          <w:rFonts w:asciiTheme="minorHAnsi" w:eastAsia="Times New Roman" w:hAnsiTheme="minorHAnsi" w:cstheme="minorHAnsi"/>
          <w:color w:val="000000"/>
          <w:sz w:val="20"/>
          <w:szCs w:val="20"/>
        </w:rPr>
      </w:pPr>
      <w:r w:rsidRPr="004F7F71">
        <w:rPr>
          <w:rStyle w:val="Strong"/>
          <w:rFonts w:asciiTheme="minorHAnsi" w:hAnsiTheme="minorHAnsi" w:cstheme="minorHAnsi"/>
          <w:color w:val="000000"/>
          <w:sz w:val="20"/>
          <w:szCs w:val="20"/>
        </w:rPr>
        <w:t>DFARS 252.204-7004 ANTITERRORISM AWARENESS TRAINING FOR CONTRACTORS (FEB 2019)</w:t>
      </w:r>
    </w:p>
    <w:p w14:paraId="57C1BFF1" w14:textId="77777777" w:rsidR="00697921" w:rsidRPr="004F7F71" w:rsidRDefault="00697921" w:rsidP="00697921">
      <w:pPr>
        <w:pStyle w:val="ListParagraph"/>
        <w:numPr>
          <w:ilvl w:val="0"/>
          <w:numId w:val="1"/>
        </w:numPr>
        <w:rPr>
          <w:rFonts w:eastAsia="Times New Roman" w:cstheme="minorHAnsi"/>
          <w:color w:val="000000"/>
          <w:sz w:val="20"/>
          <w:szCs w:val="20"/>
        </w:rPr>
      </w:pPr>
      <w:r w:rsidRPr="004F7F71">
        <w:rPr>
          <w:rFonts w:eastAsia="Times New Roman" w:cstheme="minorHAnsi"/>
          <w:color w:val="000000"/>
          <w:sz w:val="20"/>
          <w:szCs w:val="20"/>
        </w:rPr>
        <w:t xml:space="preserve">Noncommercial &amp; Commercial Items </w:t>
      </w:r>
    </w:p>
    <w:p w14:paraId="3EED5C43" w14:textId="3E83AECE" w:rsidR="00697921" w:rsidRPr="004F7F71" w:rsidRDefault="00697921" w:rsidP="00697921">
      <w:pPr>
        <w:pStyle w:val="ListParagraph"/>
        <w:numPr>
          <w:ilvl w:val="0"/>
          <w:numId w:val="1"/>
        </w:numPr>
        <w:rPr>
          <w:rFonts w:eastAsia="Times New Roman" w:cstheme="minorHAnsi"/>
          <w:color w:val="000000"/>
          <w:sz w:val="20"/>
          <w:szCs w:val="20"/>
        </w:rPr>
      </w:pPr>
      <w:r w:rsidRPr="004F7F71">
        <w:rPr>
          <w:rFonts w:cstheme="minorHAnsi"/>
          <w:color w:val="000000"/>
          <w:sz w:val="20"/>
          <w:szCs w:val="20"/>
        </w:rPr>
        <w:t xml:space="preserve">This clause applies in all subcontracts where performance requires </w:t>
      </w:r>
      <w:r w:rsidRPr="004F7F71">
        <w:rPr>
          <w:rFonts w:cstheme="minorHAnsi"/>
          <w:b/>
          <w:bCs/>
          <w:color w:val="000000"/>
          <w:sz w:val="20"/>
          <w:szCs w:val="20"/>
        </w:rPr>
        <w:t>routine physical access</w:t>
      </w:r>
      <w:r w:rsidRPr="004F7F71">
        <w:rPr>
          <w:rFonts w:cstheme="minorHAnsi"/>
          <w:color w:val="000000"/>
          <w:sz w:val="20"/>
          <w:szCs w:val="20"/>
        </w:rPr>
        <w:t xml:space="preserve"> to a </w:t>
      </w:r>
      <w:r w:rsidR="004F7F71" w:rsidRPr="004F7F71">
        <w:rPr>
          <w:rFonts w:cstheme="minorHAnsi"/>
          <w:color w:val="000000"/>
          <w:sz w:val="20"/>
          <w:szCs w:val="20"/>
        </w:rPr>
        <w:t>Federally controlled</w:t>
      </w:r>
      <w:r w:rsidRPr="004F7F71">
        <w:rPr>
          <w:rFonts w:cstheme="minorHAnsi"/>
          <w:color w:val="000000"/>
          <w:sz w:val="20"/>
          <w:szCs w:val="20"/>
        </w:rPr>
        <w:t xml:space="preserve"> facility or military installation.</w:t>
      </w:r>
    </w:p>
    <w:p w14:paraId="6AA60AEF" w14:textId="7EFE5A26" w:rsidR="00706EEA" w:rsidRDefault="00706EEA" w:rsidP="00697921">
      <w:pPr>
        <w:rPr>
          <w:rFonts w:asciiTheme="minorHAnsi" w:eastAsia="Times New Roman" w:hAnsiTheme="minorHAnsi" w:cstheme="minorHAnsi"/>
          <w:color w:val="000000"/>
          <w:sz w:val="20"/>
          <w:szCs w:val="20"/>
        </w:rPr>
      </w:pPr>
    </w:p>
    <w:p w14:paraId="7ED55026" w14:textId="77777777" w:rsidR="00706EEA" w:rsidRDefault="00706EEA" w:rsidP="00697921">
      <w:pPr>
        <w:rPr>
          <w:rFonts w:asciiTheme="minorHAnsi" w:eastAsia="Times New Roman" w:hAnsiTheme="minorHAnsi" w:cstheme="minorHAnsi"/>
          <w:color w:val="000000"/>
          <w:sz w:val="20"/>
          <w:szCs w:val="20"/>
        </w:rPr>
      </w:pPr>
    </w:p>
    <w:p w14:paraId="580686D0" w14:textId="77777777" w:rsidR="00706EEA" w:rsidRDefault="00706EEA" w:rsidP="00706EEA">
      <w:pPr>
        <w:rPr>
          <w:rStyle w:val="Strong"/>
          <w:rFonts w:asciiTheme="minorHAnsi" w:hAnsiTheme="minorHAnsi" w:cstheme="minorHAnsi"/>
          <w:color w:val="000000"/>
          <w:sz w:val="20"/>
          <w:szCs w:val="20"/>
        </w:rPr>
      </w:pPr>
      <w:r w:rsidRPr="004F7F71">
        <w:rPr>
          <w:rStyle w:val="Strong"/>
          <w:rFonts w:asciiTheme="minorHAnsi" w:hAnsiTheme="minorHAnsi" w:cstheme="minorHAnsi"/>
          <w:color w:val="000000"/>
          <w:sz w:val="20"/>
          <w:szCs w:val="20"/>
        </w:rPr>
        <w:t>DFARS 252.243-7002 REQUESTS FOR EQUITABLE ADJUSTMENT (DEC 2012</w:t>
      </w:r>
    </w:p>
    <w:p w14:paraId="192A0177" w14:textId="77356F94" w:rsidR="00706EEA" w:rsidRPr="004F7F71" w:rsidRDefault="00706EEA" w:rsidP="00706EEA">
      <w:pPr>
        <w:rPr>
          <w:rStyle w:val="Strong"/>
          <w:rFonts w:asciiTheme="minorHAnsi" w:hAnsiTheme="minorHAnsi" w:cstheme="minorHAnsi"/>
          <w:color w:val="000000"/>
          <w:sz w:val="20"/>
          <w:szCs w:val="20"/>
        </w:rPr>
      </w:pPr>
      <w:r w:rsidRPr="004F7F71">
        <w:rPr>
          <w:rStyle w:val="Strong"/>
          <w:rFonts w:asciiTheme="minorHAnsi" w:hAnsiTheme="minorHAnsi" w:cstheme="minorHAnsi"/>
          <w:color w:val="000000"/>
          <w:sz w:val="20"/>
          <w:szCs w:val="20"/>
        </w:rPr>
        <w:t xml:space="preserve">Noncommercial Items </w:t>
      </w:r>
    </w:p>
    <w:p w14:paraId="7B86F73C" w14:textId="77777777" w:rsidR="00706EEA" w:rsidRPr="00706EEA" w:rsidRDefault="00706EEA" w:rsidP="00706EEA">
      <w:pPr>
        <w:pStyle w:val="ListParagraph"/>
        <w:numPr>
          <w:ilvl w:val="0"/>
          <w:numId w:val="3"/>
        </w:numPr>
        <w:rPr>
          <w:rStyle w:val="Strong"/>
          <w:rFonts w:cstheme="minorHAnsi"/>
          <w:color w:val="000000"/>
          <w:sz w:val="20"/>
          <w:szCs w:val="20"/>
        </w:rPr>
      </w:pPr>
      <w:r w:rsidRPr="00706EEA">
        <w:rPr>
          <w:rFonts w:cstheme="minorHAnsi"/>
          <w:color w:val="000000"/>
          <w:sz w:val="20"/>
          <w:szCs w:val="20"/>
        </w:rPr>
        <w:t>Purchase Orders over $150,000 that will required Lockheed Martin to certify claim elements originating from subcontractors.</w:t>
      </w:r>
      <w:r>
        <w:rPr>
          <w:rFonts w:cstheme="minorHAnsi"/>
          <w:color w:val="000000"/>
          <w:sz w:val="20"/>
          <w:szCs w:val="20"/>
        </w:rPr>
        <w:t xml:space="preserve"> </w:t>
      </w:r>
      <w:r w:rsidRPr="00706EEA">
        <w:rPr>
          <w:rFonts w:cstheme="minorHAnsi"/>
          <w:color w:val="000000"/>
          <w:sz w:val="20"/>
          <w:szCs w:val="20"/>
        </w:rPr>
        <w:t>Government" means "Lockheed Martin."</w:t>
      </w:r>
    </w:p>
    <w:p w14:paraId="2C646710" w14:textId="3DA48196" w:rsidR="00706EEA" w:rsidRDefault="00706EEA" w:rsidP="00697921">
      <w:pPr>
        <w:rPr>
          <w:rFonts w:asciiTheme="minorHAnsi" w:eastAsia="Times New Roman" w:hAnsiTheme="minorHAnsi" w:cstheme="minorHAnsi"/>
          <w:color w:val="000000"/>
          <w:sz w:val="20"/>
          <w:szCs w:val="20"/>
        </w:rPr>
      </w:pPr>
    </w:p>
    <w:p w14:paraId="4EDB8F65" w14:textId="23173108" w:rsidR="000D081C" w:rsidRPr="004F7F71" w:rsidRDefault="000D081C" w:rsidP="000D081C">
      <w:pPr>
        <w:pStyle w:val="NormalWeb"/>
        <w:rPr>
          <w:rFonts w:asciiTheme="minorHAnsi" w:hAnsiTheme="minorHAnsi" w:cstheme="minorHAnsi"/>
          <w:b/>
          <w:color w:val="000000"/>
        </w:rPr>
      </w:pPr>
      <w:r w:rsidRPr="004F7F71">
        <w:rPr>
          <w:rFonts w:asciiTheme="minorHAnsi" w:hAnsiTheme="minorHAnsi" w:cstheme="minorHAnsi"/>
          <w:b/>
          <w:color w:val="000000"/>
        </w:rPr>
        <w:lastRenderedPageBreak/>
        <w:t>DFARS 252.246-7008 Sources of Electronic Parts (Aug 2016)</w:t>
      </w:r>
    </w:p>
    <w:p w14:paraId="5818EB55" w14:textId="77777777" w:rsidR="000D081C" w:rsidRPr="004F7F71" w:rsidRDefault="000D081C" w:rsidP="000D081C">
      <w:pPr>
        <w:pStyle w:val="NormalWeb"/>
        <w:rPr>
          <w:rFonts w:asciiTheme="minorHAnsi" w:hAnsiTheme="minorHAnsi" w:cstheme="minorHAnsi"/>
          <w:color w:val="000000"/>
        </w:rPr>
      </w:pPr>
      <w:r w:rsidRPr="004F7F71">
        <w:rPr>
          <w:rFonts w:asciiTheme="minorHAnsi" w:hAnsiTheme="minorHAnsi" w:cstheme="minorHAnsi"/>
          <w:color w:val="000000"/>
        </w:rPr>
        <w:t>Applies if Lockheed Martin Purchase Order is for electronic parts or assemblies containing electronic parts, unless Seller is the original manufacturer. As used in the clause, "Contracting Officer" means "Lockheed Martin and the Contracting Officer. “The term "Government" means "Lockheed Martin and the Government" except in paragraph (d).</w:t>
      </w:r>
    </w:p>
    <w:p w14:paraId="6B0C385F" w14:textId="77777777" w:rsidR="000D081C" w:rsidRDefault="000D081C" w:rsidP="00697921">
      <w:pPr>
        <w:rPr>
          <w:rFonts w:asciiTheme="minorHAnsi" w:eastAsia="Times New Roman" w:hAnsiTheme="minorHAnsi" w:cstheme="minorHAnsi"/>
          <w:color w:val="000000"/>
          <w:sz w:val="20"/>
          <w:szCs w:val="20"/>
        </w:rPr>
      </w:pPr>
    </w:p>
    <w:p w14:paraId="08779459" w14:textId="77777777" w:rsidR="00706EEA" w:rsidRPr="004F7F71" w:rsidRDefault="00706EEA" w:rsidP="00697921">
      <w:pPr>
        <w:rPr>
          <w:rFonts w:asciiTheme="minorHAnsi" w:eastAsia="Times New Roman" w:hAnsiTheme="minorHAnsi" w:cstheme="minorHAnsi"/>
          <w:color w:val="000000"/>
          <w:sz w:val="20"/>
          <w:szCs w:val="20"/>
        </w:rPr>
      </w:pPr>
    </w:p>
    <w:p w14:paraId="03AE5E91" w14:textId="77777777" w:rsidR="00697921" w:rsidRPr="004F7F71" w:rsidRDefault="00697921" w:rsidP="00697921">
      <w:pPr>
        <w:rPr>
          <w:rStyle w:val="Strong"/>
          <w:rFonts w:asciiTheme="minorHAnsi" w:hAnsiTheme="minorHAnsi" w:cstheme="minorHAnsi"/>
          <w:sz w:val="20"/>
          <w:szCs w:val="20"/>
        </w:rPr>
      </w:pPr>
      <w:r w:rsidRPr="004F7F71">
        <w:rPr>
          <w:rStyle w:val="Strong"/>
          <w:rFonts w:asciiTheme="minorHAnsi" w:hAnsiTheme="minorHAnsi" w:cstheme="minorHAnsi"/>
          <w:color w:val="000000"/>
          <w:sz w:val="20"/>
          <w:szCs w:val="20"/>
        </w:rPr>
        <w:t>DFARS 252.225-7025 RESTRICTION ON ACQUISITION OF FORGINGS (DEC 2009)</w:t>
      </w:r>
    </w:p>
    <w:p w14:paraId="536E9C3F" w14:textId="77777777" w:rsidR="00697921" w:rsidRPr="004F7F71" w:rsidRDefault="00697921" w:rsidP="00697921">
      <w:pPr>
        <w:pStyle w:val="ListParagraph"/>
        <w:numPr>
          <w:ilvl w:val="0"/>
          <w:numId w:val="1"/>
        </w:numPr>
        <w:rPr>
          <w:rFonts w:eastAsia="Times New Roman" w:cstheme="minorHAnsi"/>
          <w:sz w:val="20"/>
          <w:szCs w:val="20"/>
        </w:rPr>
      </w:pPr>
      <w:r w:rsidRPr="004F7F71">
        <w:rPr>
          <w:rFonts w:eastAsia="Times New Roman" w:cstheme="minorHAnsi"/>
          <w:color w:val="000000"/>
          <w:sz w:val="20"/>
          <w:szCs w:val="20"/>
        </w:rPr>
        <w:t xml:space="preserve">Noncommercial </w:t>
      </w:r>
    </w:p>
    <w:p w14:paraId="556CF6DE" w14:textId="55536D37" w:rsidR="00697921" w:rsidRPr="004F7F71" w:rsidRDefault="00333096" w:rsidP="00697921">
      <w:pPr>
        <w:pStyle w:val="ListParagraph"/>
        <w:numPr>
          <w:ilvl w:val="0"/>
          <w:numId w:val="1"/>
        </w:numPr>
        <w:rPr>
          <w:rFonts w:eastAsia="Times New Roman" w:cstheme="minorHAnsi"/>
          <w:color w:val="000000"/>
          <w:sz w:val="20"/>
          <w:szCs w:val="20"/>
        </w:rPr>
      </w:pPr>
      <w:r>
        <w:rPr>
          <w:rFonts w:cstheme="minorHAnsi"/>
          <w:color w:val="000000"/>
          <w:sz w:val="20"/>
          <w:szCs w:val="20"/>
        </w:rPr>
        <w:t>P</w:t>
      </w:r>
      <w:r w:rsidR="00697921" w:rsidRPr="004F7F71">
        <w:rPr>
          <w:rFonts w:cstheme="minorHAnsi"/>
          <w:color w:val="000000"/>
          <w:sz w:val="20"/>
          <w:szCs w:val="20"/>
        </w:rPr>
        <w:t>roducts and their components delivered under this subcontract shall contain forging items that are of domestic manufacture only.</w:t>
      </w:r>
    </w:p>
    <w:p w14:paraId="504772F9" w14:textId="77777777" w:rsidR="00697921" w:rsidRPr="004F7F71" w:rsidRDefault="00697921" w:rsidP="00697921">
      <w:pPr>
        <w:pStyle w:val="ListParagraph"/>
        <w:numPr>
          <w:ilvl w:val="0"/>
          <w:numId w:val="1"/>
        </w:numPr>
        <w:rPr>
          <w:rFonts w:eastAsia="Times New Roman" w:cstheme="minorHAnsi"/>
          <w:color w:val="000000"/>
          <w:sz w:val="20"/>
          <w:szCs w:val="20"/>
        </w:rPr>
      </w:pPr>
      <w:r w:rsidRPr="004F7F71">
        <w:rPr>
          <w:rFonts w:eastAsia="Times New Roman" w:cstheme="minorHAnsi"/>
          <w:color w:val="000000"/>
          <w:sz w:val="20"/>
          <w:szCs w:val="20"/>
        </w:rPr>
        <w:t>Forging items means--</w:t>
      </w:r>
    </w:p>
    <w:tbl>
      <w:tblPr>
        <w:tblW w:w="3000" w:type="pct"/>
        <w:tblCellSpacing w:w="20" w:type="dxa"/>
        <w:tblCellMar>
          <w:top w:w="20" w:type="dxa"/>
          <w:left w:w="20" w:type="dxa"/>
          <w:bottom w:w="20" w:type="dxa"/>
          <w:right w:w="20" w:type="dxa"/>
        </w:tblCellMar>
        <w:tblLook w:val="04A0" w:firstRow="1" w:lastRow="0" w:firstColumn="1" w:lastColumn="0" w:noHBand="0" w:noVBand="1"/>
      </w:tblPr>
      <w:tblGrid>
        <w:gridCol w:w="3275"/>
        <w:gridCol w:w="3275"/>
      </w:tblGrid>
      <w:tr w:rsidR="00697921" w:rsidRPr="004F7F71" w14:paraId="42320BE8" w14:textId="77777777" w:rsidTr="00697921">
        <w:trPr>
          <w:tblCellSpacing w:w="20" w:type="dxa"/>
        </w:trPr>
        <w:tc>
          <w:tcPr>
            <w:tcW w:w="5000" w:type="pct"/>
            <w:gridSpan w:val="2"/>
            <w:vAlign w:val="center"/>
            <w:hideMark/>
          </w:tcPr>
          <w:p w14:paraId="60128981"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w:t>
            </w:r>
          </w:p>
        </w:tc>
      </w:tr>
      <w:tr w:rsidR="00697921" w:rsidRPr="004F7F71" w14:paraId="1E30CF9D" w14:textId="77777777" w:rsidTr="00697921">
        <w:trPr>
          <w:tblCellSpacing w:w="20" w:type="dxa"/>
        </w:trPr>
        <w:tc>
          <w:tcPr>
            <w:tcW w:w="2500" w:type="pct"/>
            <w:vAlign w:val="center"/>
            <w:hideMark/>
          </w:tcPr>
          <w:p w14:paraId="14FF884B"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Items </w:t>
            </w:r>
          </w:p>
        </w:tc>
        <w:tc>
          <w:tcPr>
            <w:tcW w:w="2500" w:type="pct"/>
            <w:vAlign w:val="center"/>
            <w:hideMark/>
          </w:tcPr>
          <w:p w14:paraId="2A1C63E3"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Categories </w:t>
            </w:r>
          </w:p>
        </w:tc>
      </w:tr>
      <w:tr w:rsidR="00697921" w:rsidRPr="004F7F71" w14:paraId="05F12D6E" w14:textId="77777777" w:rsidTr="00697921">
        <w:trPr>
          <w:tblCellSpacing w:w="20" w:type="dxa"/>
        </w:trPr>
        <w:tc>
          <w:tcPr>
            <w:tcW w:w="5000" w:type="pct"/>
            <w:gridSpan w:val="2"/>
            <w:vAlign w:val="center"/>
            <w:hideMark/>
          </w:tcPr>
          <w:p w14:paraId="51996CD6"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 </w:t>
            </w:r>
          </w:p>
        </w:tc>
      </w:tr>
      <w:tr w:rsidR="00697921" w:rsidRPr="004F7F71" w14:paraId="77DED953" w14:textId="77777777" w:rsidTr="00697921">
        <w:trPr>
          <w:tblCellSpacing w:w="20" w:type="dxa"/>
        </w:trPr>
        <w:tc>
          <w:tcPr>
            <w:tcW w:w="2500" w:type="pct"/>
            <w:vAlign w:val="center"/>
            <w:hideMark/>
          </w:tcPr>
          <w:p w14:paraId="106886B7"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Ship propulsion shafts </w:t>
            </w:r>
          </w:p>
        </w:tc>
        <w:tc>
          <w:tcPr>
            <w:tcW w:w="2500" w:type="pct"/>
            <w:vAlign w:val="center"/>
            <w:hideMark/>
          </w:tcPr>
          <w:p w14:paraId="1504E556"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Excludes service and landing craft shafts. </w:t>
            </w:r>
          </w:p>
        </w:tc>
      </w:tr>
      <w:tr w:rsidR="00697921" w:rsidRPr="004F7F71" w14:paraId="7D4761B6" w14:textId="77777777" w:rsidTr="00697921">
        <w:trPr>
          <w:tblCellSpacing w:w="20" w:type="dxa"/>
        </w:trPr>
        <w:tc>
          <w:tcPr>
            <w:tcW w:w="2500" w:type="pct"/>
            <w:vAlign w:val="center"/>
            <w:hideMark/>
          </w:tcPr>
          <w:p w14:paraId="3B443120"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Periscope tubes </w:t>
            </w:r>
          </w:p>
        </w:tc>
        <w:tc>
          <w:tcPr>
            <w:tcW w:w="2500" w:type="pct"/>
            <w:vAlign w:val="center"/>
            <w:hideMark/>
          </w:tcPr>
          <w:p w14:paraId="421D68B9"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All. </w:t>
            </w:r>
          </w:p>
        </w:tc>
      </w:tr>
      <w:tr w:rsidR="00697921" w:rsidRPr="004F7F71" w14:paraId="482224C0" w14:textId="77777777" w:rsidTr="00697921">
        <w:trPr>
          <w:tblCellSpacing w:w="20" w:type="dxa"/>
        </w:trPr>
        <w:tc>
          <w:tcPr>
            <w:tcW w:w="2500" w:type="pct"/>
            <w:vAlign w:val="center"/>
            <w:hideMark/>
          </w:tcPr>
          <w:p w14:paraId="367C8186"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Ring forgings for bull gears </w:t>
            </w:r>
          </w:p>
        </w:tc>
        <w:tc>
          <w:tcPr>
            <w:tcW w:w="2500" w:type="pct"/>
            <w:vAlign w:val="center"/>
            <w:hideMark/>
          </w:tcPr>
          <w:p w14:paraId="6181B5A3"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All greater than 120 inches in diameter. </w:t>
            </w:r>
          </w:p>
        </w:tc>
      </w:tr>
      <w:tr w:rsidR="00697921" w:rsidRPr="004F7F71" w14:paraId="5C49A1FD" w14:textId="77777777" w:rsidTr="00697921">
        <w:trPr>
          <w:tblCellSpacing w:w="20" w:type="dxa"/>
        </w:trPr>
        <w:tc>
          <w:tcPr>
            <w:tcW w:w="5000" w:type="pct"/>
            <w:gridSpan w:val="2"/>
            <w:vAlign w:val="center"/>
            <w:hideMark/>
          </w:tcPr>
          <w:p w14:paraId="60E8C139" w14:textId="77777777" w:rsidR="00697921" w:rsidRPr="004F7F71" w:rsidRDefault="00697921">
            <w:pPr>
              <w:rPr>
                <w:rFonts w:asciiTheme="minorHAnsi" w:eastAsia="Times New Roman" w:hAnsiTheme="minorHAnsi" w:cstheme="minorHAnsi"/>
                <w:sz w:val="20"/>
                <w:szCs w:val="20"/>
              </w:rPr>
            </w:pPr>
            <w:r w:rsidRPr="004F7F71">
              <w:rPr>
                <w:rFonts w:asciiTheme="minorHAnsi" w:eastAsia="Times New Roman" w:hAnsiTheme="minorHAnsi" w:cstheme="minorHAnsi"/>
                <w:sz w:val="20"/>
                <w:szCs w:val="20"/>
              </w:rPr>
              <w:t xml:space="preserve">--------------------------------------------------------------------------------------------------------- </w:t>
            </w:r>
          </w:p>
        </w:tc>
      </w:tr>
    </w:tbl>
    <w:p w14:paraId="0FD85189" w14:textId="77777777" w:rsidR="00697921" w:rsidRPr="004F7F71" w:rsidRDefault="00697921" w:rsidP="00697921">
      <w:pPr>
        <w:rPr>
          <w:rStyle w:val="Strong"/>
          <w:rFonts w:asciiTheme="minorHAnsi" w:hAnsiTheme="minorHAnsi" w:cstheme="minorHAnsi"/>
          <w:color w:val="000000"/>
          <w:sz w:val="20"/>
          <w:szCs w:val="20"/>
        </w:rPr>
      </w:pPr>
    </w:p>
    <w:p w14:paraId="78BCBA73" w14:textId="77777777" w:rsidR="00697921" w:rsidRPr="004F7F71" w:rsidRDefault="00697921" w:rsidP="00697921">
      <w:pPr>
        <w:rPr>
          <w:rStyle w:val="Strong"/>
          <w:rFonts w:asciiTheme="minorHAnsi" w:hAnsiTheme="minorHAnsi" w:cstheme="minorHAnsi"/>
          <w:color w:val="000000"/>
          <w:sz w:val="20"/>
          <w:szCs w:val="20"/>
        </w:rPr>
      </w:pPr>
    </w:p>
    <w:p w14:paraId="7B49CB21" w14:textId="77777777" w:rsidR="00697921" w:rsidRPr="004F7F71" w:rsidRDefault="00697921" w:rsidP="00697921">
      <w:pPr>
        <w:rPr>
          <w:rStyle w:val="Strong"/>
          <w:rFonts w:asciiTheme="minorHAnsi" w:hAnsiTheme="minorHAnsi" w:cstheme="minorHAnsi"/>
          <w:color w:val="000000"/>
          <w:sz w:val="20"/>
          <w:szCs w:val="20"/>
        </w:rPr>
      </w:pPr>
    </w:p>
    <w:p w14:paraId="5902ACD8" w14:textId="77777777" w:rsidR="00697921" w:rsidRPr="004F7F71" w:rsidRDefault="00697921" w:rsidP="00697921">
      <w:pPr>
        <w:rPr>
          <w:rFonts w:asciiTheme="minorHAnsi" w:eastAsia="Times New Roman" w:hAnsiTheme="minorHAnsi" w:cstheme="minorHAnsi"/>
          <w:sz w:val="20"/>
          <w:szCs w:val="20"/>
        </w:rPr>
      </w:pPr>
      <w:r w:rsidRPr="004F7F71">
        <w:rPr>
          <w:rFonts w:asciiTheme="minorHAnsi" w:eastAsia="Times New Roman" w:hAnsiTheme="minorHAnsi" w:cstheme="minorHAnsi"/>
          <w:b/>
          <w:bCs/>
          <w:color w:val="000000"/>
          <w:sz w:val="20"/>
          <w:szCs w:val="20"/>
        </w:rPr>
        <w:t>DFARS 252.225-7027 RESTRICTION ON CONTINGENT FEES FOR FOREIGN MILITARY SALES (</w:t>
      </w:r>
      <w:bookmarkStart w:id="0" w:name="APR_2003"/>
      <w:r w:rsidRPr="004F7F71">
        <w:rPr>
          <w:rFonts w:asciiTheme="minorHAnsi" w:eastAsia="Times New Roman" w:hAnsiTheme="minorHAnsi" w:cstheme="minorHAnsi"/>
          <w:b/>
          <w:bCs/>
          <w:color w:val="000000"/>
          <w:sz w:val="20"/>
          <w:szCs w:val="20"/>
        </w:rPr>
        <w:t>APR 2003</w:t>
      </w:r>
      <w:bookmarkEnd w:id="0"/>
      <w:r w:rsidRPr="004F7F71">
        <w:rPr>
          <w:rFonts w:asciiTheme="minorHAnsi" w:eastAsia="Times New Roman" w:hAnsiTheme="minorHAnsi" w:cstheme="minorHAnsi"/>
          <w:b/>
          <w:bCs/>
          <w:color w:val="000000"/>
          <w:sz w:val="20"/>
          <w:szCs w:val="20"/>
        </w:rPr>
        <w:t xml:space="preserve">) </w:t>
      </w:r>
    </w:p>
    <w:p w14:paraId="56ADBE0C" w14:textId="77777777" w:rsidR="00697921" w:rsidRPr="004F7F71" w:rsidRDefault="00697921" w:rsidP="00697921">
      <w:pPr>
        <w:rPr>
          <w:rFonts w:asciiTheme="minorHAnsi" w:eastAsia="Times New Roman" w:hAnsiTheme="minorHAnsi" w:cstheme="minorHAnsi"/>
          <w:b/>
          <w:bCs/>
          <w:color w:val="000000"/>
          <w:sz w:val="20"/>
          <w:szCs w:val="20"/>
        </w:rPr>
      </w:pPr>
      <w:r w:rsidRPr="004F7F71">
        <w:rPr>
          <w:rFonts w:asciiTheme="minorHAnsi" w:eastAsia="Times New Roman" w:hAnsiTheme="minorHAnsi" w:cstheme="minorHAnsi"/>
          <w:b/>
          <w:bCs/>
          <w:color w:val="000000"/>
          <w:sz w:val="20"/>
          <w:szCs w:val="20"/>
        </w:rPr>
        <w:t xml:space="preserve">Noncommercial &amp; Commercial Items </w:t>
      </w:r>
    </w:p>
    <w:p w14:paraId="6260BB8F"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 xml:space="preserve"> (a) Except as provided in paragraph (b) of this clause, contingent fees, as defined in the Covenant Against Contingent Fees clause of this contract, are generally an allowable cost, provided the fees are paid to—</w:t>
      </w:r>
    </w:p>
    <w:p w14:paraId="340837B0"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(1) A bona fide employee of the Contractor; or</w:t>
      </w:r>
    </w:p>
    <w:p w14:paraId="3A4D3381"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(2) A bona fide established commercial or selling agency maintained by the Contractor for the purpose of securing business.</w:t>
      </w:r>
    </w:p>
    <w:p w14:paraId="3EBDAA2A"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(b) For foreign military sales, unless the contingent fees have been identified and payment approved in writing by the foreign customer before contract award, the following contingent fees are unallowable under this contract:</w:t>
      </w:r>
    </w:p>
    <w:p w14:paraId="0D35DFFB"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(1) For sales to the Government(s) of ___, contingent fees in any amount.</w:t>
      </w:r>
    </w:p>
    <w:p w14:paraId="66DE680A"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(2) For sales to Governments not listed in paragraph (b)(1) of this clause, contingent fees exceeding $50,000 per foreign military sale case.</w:t>
      </w:r>
    </w:p>
    <w:p w14:paraId="7D4A28E3" w14:textId="77777777" w:rsidR="00697921" w:rsidRPr="004F7F71" w:rsidRDefault="00697921" w:rsidP="00697921">
      <w:pPr>
        <w:rPr>
          <w:rFonts w:asciiTheme="minorHAnsi" w:eastAsia="Times New Roman" w:hAnsiTheme="minorHAnsi" w:cstheme="minorHAnsi"/>
          <w:color w:val="000000"/>
          <w:sz w:val="20"/>
          <w:szCs w:val="20"/>
        </w:rPr>
      </w:pPr>
      <w:r w:rsidRPr="004F7F71">
        <w:rPr>
          <w:rFonts w:asciiTheme="minorHAnsi" w:eastAsia="Times New Roman" w:hAnsiTheme="minorHAnsi" w:cstheme="minorHAnsi"/>
          <w:color w:val="000000"/>
          <w:sz w:val="20"/>
          <w:szCs w:val="20"/>
        </w:rPr>
        <w:t>(End of clause)</w:t>
      </w:r>
    </w:p>
    <w:p w14:paraId="210F83D4" w14:textId="77777777" w:rsidR="00697921" w:rsidRPr="004F7F71" w:rsidRDefault="00697921" w:rsidP="00697921">
      <w:pPr>
        <w:rPr>
          <w:rStyle w:val="Strong"/>
          <w:rFonts w:asciiTheme="minorHAnsi" w:hAnsiTheme="minorHAnsi" w:cstheme="minorHAnsi"/>
          <w:sz w:val="20"/>
          <w:szCs w:val="20"/>
        </w:rPr>
      </w:pPr>
    </w:p>
    <w:p w14:paraId="6B411D20" w14:textId="77777777" w:rsidR="00697921" w:rsidRPr="004F7F71" w:rsidRDefault="00697921" w:rsidP="00697921">
      <w:pPr>
        <w:rPr>
          <w:rStyle w:val="Strong"/>
          <w:rFonts w:asciiTheme="minorHAnsi" w:hAnsiTheme="minorHAnsi" w:cstheme="minorHAnsi"/>
          <w:color w:val="000000"/>
          <w:sz w:val="20"/>
          <w:szCs w:val="20"/>
        </w:rPr>
      </w:pPr>
    </w:p>
    <w:p w14:paraId="3C074EE9" w14:textId="77777777" w:rsidR="00697921" w:rsidRPr="004F7F71" w:rsidRDefault="00697921" w:rsidP="00697921">
      <w:pPr>
        <w:rPr>
          <w:rStyle w:val="Strong"/>
          <w:rFonts w:asciiTheme="minorHAnsi" w:hAnsiTheme="minorHAnsi" w:cstheme="minorHAnsi"/>
          <w:color w:val="000000"/>
          <w:sz w:val="20"/>
          <w:szCs w:val="20"/>
        </w:rPr>
      </w:pPr>
      <w:r w:rsidRPr="004F7F71">
        <w:rPr>
          <w:rStyle w:val="Strong"/>
          <w:rFonts w:asciiTheme="minorHAnsi" w:hAnsiTheme="minorHAnsi" w:cstheme="minorHAnsi"/>
          <w:color w:val="000000"/>
          <w:sz w:val="20"/>
          <w:szCs w:val="20"/>
        </w:rPr>
        <w:t>DFARS 252.234-7004 COST AND SOFTWARE DATA REPORTING SYSTEM--BASIC (</w:t>
      </w:r>
      <w:bookmarkStart w:id="1" w:name="NOV_2014"/>
      <w:r w:rsidRPr="004F7F71">
        <w:rPr>
          <w:rStyle w:val="Strong"/>
          <w:rFonts w:asciiTheme="minorHAnsi" w:hAnsiTheme="minorHAnsi" w:cstheme="minorHAnsi"/>
          <w:color w:val="000000"/>
          <w:sz w:val="20"/>
          <w:szCs w:val="20"/>
        </w:rPr>
        <w:t>NOV 2014</w:t>
      </w:r>
      <w:bookmarkEnd w:id="1"/>
      <w:r w:rsidRPr="004F7F71">
        <w:rPr>
          <w:rStyle w:val="Strong"/>
          <w:rFonts w:asciiTheme="minorHAnsi" w:hAnsiTheme="minorHAnsi" w:cstheme="minorHAnsi"/>
          <w:color w:val="000000"/>
          <w:sz w:val="20"/>
          <w:szCs w:val="20"/>
        </w:rPr>
        <w:t>)</w:t>
      </w:r>
    </w:p>
    <w:p w14:paraId="7F6B04E7" w14:textId="77777777" w:rsidR="00697921" w:rsidRPr="004F7F71" w:rsidRDefault="00697921" w:rsidP="00697921">
      <w:pPr>
        <w:rPr>
          <w:rStyle w:val="Strong"/>
          <w:rFonts w:asciiTheme="minorHAnsi" w:hAnsiTheme="minorHAnsi" w:cstheme="minorHAnsi"/>
          <w:color w:val="000000"/>
          <w:sz w:val="20"/>
          <w:szCs w:val="20"/>
        </w:rPr>
      </w:pPr>
      <w:r w:rsidRPr="004F7F71">
        <w:rPr>
          <w:rStyle w:val="Strong"/>
          <w:rFonts w:asciiTheme="minorHAnsi" w:hAnsiTheme="minorHAnsi" w:cstheme="minorHAnsi"/>
          <w:color w:val="000000"/>
          <w:sz w:val="20"/>
          <w:szCs w:val="20"/>
        </w:rPr>
        <w:t xml:space="preserve">Noncommercial Items </w:t>
      </w:r>
    </w:p>
    <w:p w14:paraId="47A7FDF7" w14:textId="77777777" w:rsidR="00697921" w:rsidRPr="00706EEA" w:rsidRDefault="00697921" w:rsidP="00706EEA">
      <w:pPr>
        <w:pStyle w:val="ListParagraph"/>
        <w:numPr>
          <w:ilvl w:val="0"/>
          <w:numId w:val="4"/>
        </w:numPr>
        <w:rPr>
          <w:rStyle w:val="Strong"/>
          <w:rFonts w:cstheme="minorHAnsi"/>
          <w:color w:val="000000"/>
          <w:sz w:val="20"/>
          <w:szCs w:val="20"/>
        </w:rPr>
      </w:pPr>
      <w:r w:rsidRPr="00706EEA">
        <w:rPr>
          <w:rFonts w:cstheme="minorHAnsi"/>
          <w:color w:val="000000"/>
          <w:sz w:val="20"/>
          <w:szCs w:val="20"/>
        </w:rPr>
        <w:t>Applies in solicitations and Purchase Orders for major defense acquisition programs or major automated information system programs that exceed $50 million.</w:t>
      </w:r>
    </w:p>
    <w:p w14:paraId="6E55255D" w14:textId="77777777" w:rsidR="00697921" w:rsidRPr="004F7F71" w:rsidRDefault="00697921" w:rsidP="00697921">
      <w:pPr>
        <w:rPr>
          <w:rStyle w:val="Strong"/>
          <w:rFonts w:asciiTheme="minorHAnsi" w:hAnsiTheme="minorHAnsi" w:cstheme="minorHAnsi"/>
          <w:color w:val="000000"/>
          <w:sz w:val="20"/>
          <w:szCs w:val="20"/>
        </w:rPr>
      </w:pPr>
    </w:p>
    <w:p w14:paraId="38CE5725" w14:textId="77777777" w:rsidR="00697921" w:rsidRPr="004F7F71" w:rsidRDefault="00697921" w:rsidP="00697921">
      <w:pPr>
        <w:rPr>
          <w:rStyle w:val="Strong"/>
          <w:rFonts w:asciiTheme="minorHAnsi" w:hAnsiTheme="minorHAnsi" w:cstheme="minorHAnsi"/>
          <w:color w:val="000000"/>
          <w:sz w:val="20"/>
          <w:szCs w:val="20"/>
        </w:rPr>
      </w:pPr>
    </w:p>
    <w:p w14:paraId="376BD53E" w14:textId="3A66FD43" w:rsidR="00C60F7E" w:rsidRDefault="00C60F7E" w:rsidP="00376E72">
      <w:pPr>
        <w:pStyle w:val="NormalWeb"/>
        <w:rPr>
          <w:rFonts w:asciiTheme="minorHAnsi" w:hAnsiTheme="minorHAnsi" w:cstheme="minorHAnsi"/>
          <w:b/>
          <w:color w:val="000000"/>
        </w:rPr>
      </w:pPr>
    </w:p>
    <w:p w14:paraId="1C0EC1CB" w14:textId="7D2D4309" w:rsidR="00DF73BB" w:rsidRPr="00DF73BB" w:rsidRDefault="00DF73BB" w:rsidP="00376E72">
      <w:pPr>
        <w:pStyle w:val="NormalWeb"/>
        <w:rPr>
          <w:rFonts w:asciiTheme="minorHAnsi" w:hAnsiTheme="minorHAnsi" w:cstheme="minorHAnsi"/>
          <w:b/>
          <w:color w:val="000000"/>
        </w:rPr>
      </w:pPr>
    </w:p>
    <w:p w14:paraId="2B4C9335" w14:textId="4BF11299" w:rsidR="00DF73BB" w:rsidRPr="00DF73BB" w:rsidRDefault="00DF73BB" w:rsidP="00DF73BB">
      <w:pPr>
        <w:autoSpaceDE w:val="0"/>
        <w:autoSpaceDN w:val="0"/>
        <w:adjustRightInd w:val="0"/>
        <w:ind w:left="10" w:hanging="10"/>
        <w:rPr>
          <w:rFonts w:asciiTheme="minorHAnsi" w:eastAsia="Arial" w:hAnsiTheme="minorHAnsi" w:cstheme="minorHAnsi"/>
          <w:b/>
          <w:color w:val="000000"/>
          <w:sz w:val="20"/>
          <w:szCs w:val="20"/>
        </w:rPr>
      </w:pPr>
      <w:r w:rsidRPr="00DF73BB">
        <w:rPr>
          <w:rFonts w:asciiTheme="minorHAnsi" w:eastAsia="Arial" w:hAnsiTheme="minorHAnsi" w:cstheme="minorHAnsi"/>
          <w:b/>
          <w:color w:val="000000"/>
          <w:sz w:val="20"/>
          <w:szCs w:val="20"/>
        </w:rPr>
        <w:t>Section 889(a)(1)(A) of the 2019 National Defense Authorization Act (NDAA)</w:t>
      </w:r>
      <w:r w:rsidRPr="00DF73BB">
        <w:rPr>
          <w:rFonts w:asciiTheme="minorHAnsi" w:eastAsia="Arial" w:hAnsiTheme="minorHAnsi" w:cstheme="minorHAnsi"/>
          <w:b/>
          <w:color w:val="000000"/>
          <w:sz w:val="20"/>
          <w:szCs w:val="20"/>
        </w:rPr>
        <w:t xml:space="preserve"> / </w:t>
      </w:r>
      <w:r w:rsidRPr="00DF73BB">
        <w:rPr>
          <w:rFonts w:asciiTheme="minorHAnsi" w:hAnsiTheme="minorHAnsi" w:cstheme="minorHAnsi"/>
          <w:b/>
          <w:sz w:val="20"/>
          <w:szCs w:val="20"/>
        </w:rPr>
        <w:t>FAR 52.204-25</w:t>
      </w:r>
    </w:p>
    <w:p w14:paraId="33B81D1D" w14:textId="77777777" w:rsidR="00DF73BB" w:rsidRPr="00DF73BB" w:rsidRDefault="00DF73BB" w:rsidP="00DF73BB">
      <w:pPr>
        <w:rPr>
          <w:rFonts w:asciiTheme="minorHAnsi" w:hAnsiTheme="minorHAnsi" w:cstheme="minorHAnsi"/>
          <w:sz w:val="20"/>
          <w:szCs w:val="20"/>
        </w:rPr>
      </w:pPr>
    </w:p>
    <w:p w14:paraId="2953C855" w14:textId="77777777" w:rsidR="00DF73BB" w:rsidRPr="00DF73BB" w:rsidRDefault="00DF73BB" w:rsidP="00DF73BB">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Effective August 13, 2020 as required by Section 889(a)(1)(A) of the 2019 National Defense Authorization Act (NDAA), contractors are prohibited from providing any equipment, system or service that uses covered telecommunications equipment.   Covered telecommunications equipment is as defined under FAR 52.204-25 “Prohibition on Contracting for Certain Telecommunications and Video Surveillance Services or Equipment” manufactured by:</w:t>
      </w:r>
    </w:p>
    <w:p w14:paraId="0E393D4C" w14:textId="5028E30B" w:rsidR="00DF73BB" w:rsidRPr="00DF73BB" w:rsidRDefault="00DF73BB" w:rsidP="00DF73BB">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w:t>
      </w:r>
      <w:r>
        <w:rPr>
          <w:rFonts w:asciiTheme="minorHAnsi" w:hAnsiTheme="minorHAnsi" w:cstheme="minorHAnsi"/>
          <w:sz w:val="20"/>
          <w:szCs w:val="20"/>
        </w:rPr>
        <w:t xml:space="preserve"> </w:t>
      </w:r>
      <w:r w:rsidRPr="00DF73BB">
        <w:rPr>
          <w:rFonts w:asciiTheme="minorHAnsi" w:hAnsiTheme="minorHAnsi" w:cstheme="minorHAnsi"/>
          <w:sz w:val="20"/>
          <w:szCs w:val="20"/>
        </w:rPr>
        <w:t xml:space="preserve">Huawei Technologies </w:t>
      </w:r>
    </w:p>
    <w:p w14:paraId="44F14CF9" w14:textId="12CE437C" w:rsidR="00DF73BB" w:rsidRPr="00DF73BB" w:rsidRDefault="00DF73BB" w:rsidP="00DF73BB">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w:t>
      </w:r>
      <w:r>
        <w:rPr>
          <w:rFonts w:asciiTheme="minorHAnsi" w:hAnsiTheme="minorHAnsi" w:cstheme="minorHAnsi"/>
          <w:sz w:val="20"/>
          <w:szCs w:val="20"/>
        </w:rPr>
        <w:t xml:space="preserve"> </w:t>
      </w:r>
      <w:r w:rsidRPr="00DF73BB">
        <w:rPr>
          <w:rFonts w:asciiTheme="minorHAnsi" w:hAnsiTheme="minorHAnsi" w:cstheme="minorHAnsi"/>
          <w:sz w:val="20"/>
          <w:szCs w:val="20"/>
        </w:rPr>
        <w:t>ZTE Corporation</w:t>
      </w:r>
    </w:p>
    <w:p w14:paraId="7822C76B" w14:textId="26A83A8A" w:rsidR="00DF73BB" w:rsidRPr="00DF73BB" w:rsidRDefault="00DF73BB" w:rsidP="00DF73BB">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w:t>
      </w:r>
      <w:r>
        <w:rPr>
          <w:rFonts w:asciiTheme="minorHAnsi" w:hAnsiTheme="minorHAnsi" w:cstheme="minorHAnsi"/>
          <w:sz w:val="20"/>
          <w:szCs w:val="20"/>
        </w:rPr>
        <w:t xml:space="preserve"> </w:t>
      </w:r>
      <w:r w:rsidRPr="00DF73BB">
        <w:rPr>
          <w:rFonts w:asciiTheme="minorHAnsi" w:hAnsiTheme="minorHAnsi" w:cstheme="minorHAnsi"/>
          <w:sz w:val="20"/>
          <w:szCs w:val="20"/>
        </w:rPr>
        <w:t>Hytera Communications Corporation</w:t>
      </w:r>
    </w:p>
    <w:p w14:paraId="69494157" w14:textId="3E27729F" w:rsidR="00DF73BB" w:rsidRPr="00DF73BB" w:rsidRDefault="00DF73BB" w:rsidP="00DF73BB">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w:t>
      </w:r>
      <w:r>
        <w:rPr>
          <w:rFonts w:asciiTheme="minorHAnsi" w:hAnsiTheme="minorHAnsi" w:cstheme="minorHAnsi"/>
          <w:sz w:val="20"/>
          <w:szCs w:val="20"/>
        </w:rPr>
        <w:t xml:space="preserve"> </w:t>
      </w:r>
      <w:r w:rsidRPr="00DF73BB">
        <w:rPr>
          <w:rFonts w:asciiTheme="minorHAnsi" w:hAnsiTheme="minorHAnsi" w:cstheme="minorHAnsi"/>
          <w:sz w:val="20"/>
          <w:szCs w:val="20"/>
        </w:rPr>
        <w:t>Hangzhou Hikvision Digital Technology Company</w:t>
      </w:r>
    </w:p>
    <w:p w14:paraId="3A5C8EFB" w14:textId="49BA436E" w:rsidR="00DF73BB" w:rsidRPr="00DF73BB" w:rsidRDefault="00DF73BB" w:rsidP="00DF73BB">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w:t>
      </w:r>
      <w:r>
        <w:rPr>
          <w:rFonts w:asciiTheme="minorHAnsi" w:hAnsiTheme="minorHAnsi" w:cstheme="minorHAnsi"/>
          <w:sz w:val="20"/>
          <w:szCs w:val="20"/>
        </w:rPr>
        <w:t xml:space="preserve"> </w:t>
      </w:r>
      <w:r w:rsidRPr="00DF73BB">
        <w:rPr>
          <w:rFonts w:asciiTheme="minorHAnsi" w:hAnsiTheme="minorHAnsi" w:cstheme="minorHAnsi"/>
          <w:sz w:val="20"/>
          <w:szCs w:val="20"/>
        </w:rPr>
        <w:t xml:space="preserve">Dahua Technology Company </w:t>
      </w:r>
    </w:p>
    <w:p w14:paraId="7CAE6734" w14:textId="77777777" w:rsidR="00DF73BB" w:rsidRDefault="00DF73BB" w:rsidP="00DF73BB">
      <w:pPr>
        <w:autoSpaceDE w:val="0"/>
        <w:autoSpaceDN w:val="0"/>
        <w:rPr>
          <w:rFonts w:asciiTheme="minorHAnsi" w:hAnsiTheme="minorHAnsi" w:cstheme="minorHAnsi"/>
          <w:sz w:val="20"/>
          <w:szCs w:val="20"/>
        </w:rPr>
      </w:pPr>
    </w:p>
    <w:p w14:paraId="0BE60E00" w14:textId="0C498CE2" w:rsidR="00DF73BB" w:rsidRPr="00DF73BB" w:rsidRDefault="00DF73BB" w:rsidP="00DF73BB">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 xml:space="preserve">This includes any services as a substantial or essential component of any system, or as critical technology as part of any system. </w:t>
      </w:r>
    </w:p>
    <w:p w14:paraId="2B5F90FA" w14:textId="77777777" w:rsidR="00DF73BB" w:rsidRDefault="00DF73BB" w:rsidP="00DF73BB">
      <w:pPr>
        <w:autoSpaceDE w:val="0"/>
        <w:autoSpaceDN w:val="0"/>
        <w:rPr>
          <w:rFonts w:asciiTheme="minorHAnsi" w:hAnsiTheme="minorHAnsi" w:cstheme="minorHAnsi"/>
          <w:sz w:val="20"/>
          <w:szCs w:val="20"/>
        </w:rPr>
      </w:pPr>
    </w:p>
    <w:p w14:paraId="13B3CF2C" w14:textId="1FEC1C86" w:rsidR="00DF73BB" w:rsidRPr="00DF73BB" w:rsidRDefault="00DF73BB" w:rsidP="00DF73BB">
      <w:pPr>
        <w:autoSpaceDE w:val="0"/>
        <w:autoSpaceDN w:val="0"/>
        <w:rPr>
          <w:rFonts w:asciiTheme="minorHAnsi" w:hAnsiTheme="minorHAnsi" w:cstheme="minorHAnsi"/>
          <w:sz w:val="20"/>
          <w:szCs w:val="20"/>
        </w:rPr>
      </w:pPr>
      <w:r w:rsidRPr="00DF73BB">
        <w:rPr>
          <w:rFonts w:asciiTheme="minorHAnsi" w:hAnsiTheme="minorHAnsi" w:cstheme="minorHAnsi"/>
          <w:sz w:val="20"/>
          <w:szCs w:val="20"/>
        </w:rPr>
        <w:t xml:space="preserve">As a </w:t>
      </w:r>
      <w:bookmarkStart w:id="2" w:name="_Hlk51662104"/>
      <w:r w:rsidR="00006564" w:rsidRPr="00DF73BB">
        <w:rPr>
          <w:rFonts w:asciiTheme="minorHAnsi" w:hAnsiTheme="minorHAnsi" w:cstheme="minorHAnsi"/>
          <w:sz w:val="20"/>
          <w:szCs w:val="20"/>
        </w:rPr>
        <w:t>result,</w:t>
      </w:r>
      <w:r w:rsidR="00006564">
        <w:rPr>
          <w:rFonts w:asciiTheme="minorHAnsi" w:hAnsiTheme="minorHAnsi" w:cstheme="minorHAnsi"/>
          <w:sz w:val="20"/>
          <w:szCs w:val="20"/>
        </w:rPr>
        <w:t xml:space="preserve"> the products that will be delivered under this Lockheed Martin Purchase Order must </w:t>
      </w:r>
      <w:r w:rsidRPr="00DF73BB">
        <w:rPr>
          <w:rFonts w:asciiTheme="minorHAnsi" w:hAnsiTheme="minorHAnsi" w:cstheme="minorHAnsi"/>
          <w:sz w:val="20"/>
          <w:szCs w:val="20"/>
        </w:rPr>
        <w:t xml:space="preserve">not contain telecommunication equipment or services from the </w:t>
      </w:r>
      <w:r w:rsidR="00006564" w:rsidRPr="00DF73BB">
        <w:rPr>
          <w:rFonts w:asciiTheme="minorHAnsi" w:hAnsiTheme="minorHAnsi" w:cstheme="minorHAnsi"/>
          <w:sz w:val="20"/>
          <w:szCs w:val="20"/>
        </w:rPr>
        <w:t>above-mentioned</w:t>
      </w:r>
      <w:r w:rsidRPr="00DF73BB">
        <w:rPr>
          <w:rFonts w:asciiTheme="minorHAnsi" w:hAnsiTheme="minorHAnsi" w:cstheme="minorHAnsi"/>
          <w:sz w:val="20"/>
          <w:szCs w:val="20"/>
        </w:rPr>
        <w:t xml:space="preserve"> companies either through direct, tier 1 procurement or from any level sub-tier supplier to your first tier</w:t>
      </w:r>
      <w:bookmarkEnd w:id="2"/>
      <w:r w:rsidRPr="00DF73BB">
        <w:rPr>
          <w:rFonts w:asciiTheme="minorHAnsi" w:hAnsiTheme="minorHAnsi" w:cstheme="minorHAnsi"/>
          <w:sz w:val="20"/>
          <w:szCs w:val="20"/>
        </w:rPr>
        <w:t xml:space="preserve"> </w:t>
      </w:r>
    </w:p>
    <w:p w14:paraId="4C71BC9C" w14:textId="77777777" w:rsidR="00DF73BB" w:rsidRPr="00DF73BB" w:rsidRDefault="00DF73BB" w:rsidP="00376E72">
      <w:pPr>
        <w:pStyle w:val="NormalWeb"/>
        <w:rPr>
          <w:rFonts w:asciiTheme="minorHAnsi" w:hAnsiTheme="minorHAnsi" w:cstheme="minorHAnsi"/>
          <w:b/>
          <w:color w:val="000000"/>
        </w:rPr>
      </w:pPr>
    </w:p>
    <w:sectPr w:rsidR="00DF73BB" w:rsidRPr="00DF73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F5D5E" w14:textId="77777777" w:rsidR="004576A9" w:rsidRDefault="004576A9" w:rsidP="00AB4316">
      <w:r>
        <w:separator/>
      </w:r>
    </w:p>
  </w:endnote>
  <w:endnote w:type="continuationSeparator" w:id="0">
    <w:p w14:paraId="7F922BE4" w14:textId="77777777" w:rsidR="004576A9" w:rsidRDefault="004576A9" w:rsidP="00AB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4DFA9" w14:textId="77777777" w:rsidR="002B3AB3" w:rsidRDefault="002B3AB3" w:rsidP="002B3AB3">
    <w:pPr>
      <w:pStyle w:val="Footer"/>
      <w:jc w:val="center"/>
    </w:pPr>
  </w:p>
  <w:p w14:paraId="1D750347" w14:textId="77777777" w:rsidR="002B3AB3" w:rsidRDefault="002B3AB3" w:rsidP="002864BE">
    <w:pPr>
      <w:pStyle w:val="Footer"/>
      <w:jc w:val="center"/>
    </w:pPr>
  </w:p>
  <w:p w14:paraId="2D0B8D11" w14:textId="77777777" w:rsidR="002864BE" w:rsidRDefault="002864BE" w:rsidP="007F436E">
    <w:pPr>
      <w:pStyle w:val="Footer"/>
      <w:jc w:val="center"/>
    </w:pPr>
  </w:p>
  <w:p w14:paraId="2F2F8996" w14:textId="77777777" w:rsidR="007F436E" w:rsidRDefault="007F436E" w:rsidP="00AB4316">
    <w:pPr>
      <w:pStyle w:val="Footer"/>
      <w:jc w:val="center"/>
    </w:pPr>
  </w:p>
  <w:p w14:paraId="4DBE131D" w14:textId="77777777" w:rsidR="00AB4316" w:rsidRDefault="00AB4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679249"/>
      <w:docPartObj>
        <w:docPartGallery w:val="Page Numbers (Bottom of Page)"/>
        <w:docPartUnique/>
      </w:docPartObj>
    </w:sdtPr>
    <w:sdtEndPr>
      <w:rPr>
        <w:noProof/>
      </w:rPr>
    </w:sdtEndPr>
    <w:sdtContent>
      <w:p w14:paraId="57EDB5CB" w14:textId="7C76D677" w:rsidR="00B92058" w:rsidRDefault="00B920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B7BEB" w14:textId="77777777" w:rsidR="00B92058" w:rsidRDefault="00B92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88915" w14:textId="77777777" w:rsidR="002B3AB3" w:rsidRDefault="002B3AB3" w:rsidP="002B3AB3">
    <w:pPr>
      <w:pStyle w:val="Footer"/>
      <w:jc w:val="center"/>
    </w:pPr>
  </w:p>
  <w:p w14:paraId="0BCFAED1" w14:textId="77777777" w:rsidR="002B3AB3" w:rsidRDefault="002B3AB3" w:rsidP="002864BE">
    <w:pPr>
      <w:pStyle w:val="Footer"/>
      <w:jc w:val="center"/>
    </w:pPr>
  </w:p>
  <w:p w14:paraId="397246A4" w14:textId="77777777" w:rsidR="002864BE" w:rsidRDefault="002864BE" w:rsidP="007F436E">
    <w:pPr>
      <w:pStyle w:val="Footer"/>
      <w:jc w:val="center"/>
    </w:pPr>
  </w:p>
  <w:p w14:paraId="700CDCB0" w14:textId="77777777" w:rsidR="007F436E" w:rsidRDefault="007F436E" w:rsidP="00AB4316">
    <w:pPr>
      <w:pStyle w:val="Footer"/>
      <w:jc w:val="center"/>
    </w:pPr>
  </w:p>
  <w:p w14:paraId="387B4758" w14:textId="77777777" w:rsidR="00AB4316" w:rsidRDefault="00AB4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164C2" w14:textId="77777777" w:rsidR="004576A9" w:rsidRDefault="004576A9" w:rsidP="00AB4316">
      <w:r>
        <w:separator/>
      </w:r>
    </w:p>
  </w:footnote>
  <w:footnote w:type="continuationSeparator" w:id="0">
    <w:p w14:paraId="57777750" w14:textId="77777777" w:rsidR="004576A9" w:rsidRDefault="004576A9" w:rsidP="00AB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94A98" w14:textId="77777777" w:rsidR="002B3AB3" w:rsidRDefault="002B3AB3" w:rsidP="002B3AB3">
    <w:pPr>
      <w:pStyle w:val="Header"/>
      <w:jc w:val="center"/>
    </w:pPr>
  </w:p>
  <w:p w14:paraId="559F59FF" w14:textId="77777777" w:rsidR="002B3AB3" w:rsidRDefault="002B3AB3" w:rsidP="002864BE">
    <w:pPr>
      <w:pStyle w:val="Header"/>
      <w:jc w:val="center"/>
    </w:pPr>
  </w:p>
  <w:p w14:paraId="5D4C6EFD" w14:textId="77777777" w:rsidR="002864BE" w:rsidRDefault="002864BE" w:rsidP="007F436E">
    <w:pPr>
      <w:pStyle w:val="Header"/>
      <w:jc w:val="center"/>
    </w:pPr>
  </w:p>
  <w:p w14:paraId="584ADA91" w14:textId="77777777" w:rsidR="007F436E" w:rsidRDefault="007F436E" w:rsidP="00AB4316">
    <w:pPr>
      <w:pStyle w:val="Header"/>
      <w:jc w:val="center"/>
    </w:pPr>
  </w:p>
  <w:p w14:paraId="4AAFD3C7" w14:textId="77777777" w:rsidR="00AB4316" w:rsidRDefault="00AB4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D07E1" w14:textId="12B4949C" w:rsidR="00B92058" w:rsidRDefault="00B92058">
    <w:pPr>
      <w:pStyle w:val="Header"/>
    </w:pPr>
    <w:r>
      <w:t xml:space="preserve">Rev </w:t>
    </w:r>
    <w:r w:rsidR="003639B5">
      <w:t>4</w:t>
    </w:r>
    <w:r>
      <w:t>/5/202</w:t>
    </w:r>
    <w:r w:rsidR="003639B5">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6E9A9" w14:textId="77777777" w:rsidR="002B3AB3" w:rsidRDefault="002B3AB3" w:rsidP="002B3AB3">
    <w:pPr>
      <w:pStyle w:val="Header"/>
      <w:jc w:val="center"/>
    </w:pPr>
  </w:p>
  <w:p w14:paraId="661EDFB8" w14:textId="77777777" w:rsidR="002B3AB3" w:rsidRDefault="002B3AB3" w:rsidP="002864BE">
    <w:pPr>
      <w:pStyle w:val="Header"/>
      <w:jc w:val="center"/>
    </w:pPr>
  </w:p>
  <w:p w14:paraId="49798244" w14:textId="77777777" w:rsidR="002864BE" w:rsidRDefault="002864BE" w:rsidP="007F436E">
    <w:pPr>
      <w:pStyle w:val="Header"/>
      <w:jc w:val="center"/>
    </w:pPr>
  </w:p>
  <w:p w14:paraId="55873E2C" w14:textId="77777777" w:rsidR="007F436E" w:rsidRDefault="007F436E" w:rsidP="00AB4316">
    <w:pPr>
      <w:pStyle w:val="Header"/>
      <w:jc w:val="center"/>
    </w:pPr>
  </w:p>
  <w:p w14:paraId="40690529" w14:textId="77777777" w:rsidR="00AB4316" w:rsidRDefault="00AB4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55BE5"/>
    <w:multiLevelType w:val="hybridMultilevel"/>
    <w:tmpl w:val="6E24C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C64A0"/>
    <w:multiLevelType w:val="hybridMultilevel"/>
    <w:tmpl w:val="3114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4276D"/>
    <w:multiLevelType w:val="hybridMultilevel"/>
    <w:tmpl w:val="5070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73CB5"/>
    <w:multiLevelType w:val="hybridMultilevel"/>
    <w:tmpl w:val="4188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316"/>
    <w:rsid w:val="00006564"/>
    <w:rsid w:val="000309AD"/>
    <w:rsid w:val="00061E71"/>
    <w:rsid w:val="00096E92"/>
    <w:rsid w:val="000978FF"/>
    <w:rsid w:val="000D081C"/>
    <w:rsid w:val="000F7DE5"/>
    <w:rsid w:val="001536EA"/>
    <w:rsid w:val="001F4DCA"/>
    <w:rsid w:val="002470CF"/>
    <w:rsid w:val="00285913"/>
    <w:rsid w:val="002864BE"/>
    <w:rsid w:val="002B3AB3"/>
    <w:rsid w:val="00330A55"/>
    <w:rsid w:val="00333096"/>
    <w:rsid w:val="003374AE"/>
    <w:rsid w:val="003639B5"/>
    <w:rsid w:val="003665E8"/>
    <w:rsid w:val="00376E72"/>
    <w:rsid w:val="003B0065"/>
    <w:rsid w:val="00414E00"/>
    <w:rsid w:val="004576A9"/>
    <w:rsid w:val="004905A4"/>
    <w:rsid w:val="004F7F71"/>
    <w:rsid w:val="00501C19"/>
    <w:rsid w:val="0050538F"/>
    <w:rsid w:val="005F0BFF"/>
    <w:rsid w:val="00686C86"/>
    <w:rsid w:val="00697921"/>
    <w:rsid w:val="00706EEA"/>
    <w:rsid w:val="00767115"/>
    <w:rsid w:val="007E21BE"/>
    <w:rsid w:val="007E25BF"/>
    <w:rsid w:val="007F436E"/>
    <w:rsid w:val="008B2FC9"/>
    <w:rsid w:val="008F0F15"/>
    <w:rsid w:val="009805DD"/>
    <w:rsid w:val="00A62437"/>
    <w:rsid w:val="00A6606D"/>
    <w:rsid w:val="00A719E1"/>
    <w:rsid w:val="00AB4316"/>
    <w:rsid w:val="00AF29D2"/>
    <w:rsid w:val="00B92058"/>
    <w:rsid w:val="00BC0A1F"/>
    <w:rsid w:val="00BF2AC8"/>
    <w:rsid w:val="00C60F7E"/>
    <w:rsid w:val="00C63CB5"/>
    <w:rsid w:val="00C95D37"/>
    <w:rsid w:val="00D02419"/>
    <w:rsid w:val="00D46B41"/>
    <w:rsid w:val="00D518A7"/>
    <w:rsid w:val="00D70BEB"/>
    <w:rsid w:val="00D7131E"/>
    <w:rsid w:val="00D90937"/>
    <w:rsid w:val="00DE1C36"/>
    <w:rsid w:val="00DF73BB"/>
    <w:rsid w:val="00F56A87"/>
    <w:rsid w:val="00FB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C2C6B"/>
  <w15:docId w15:val="{342C222B-2983-457C-95FD-78807C06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3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4316"/>
    <w:rPr>
      <w:color w:val="0000FF"/>
      <w:u w:val="single"/>
    </w:rPr>
  </w:style>
  <w:style w:type="paragraph" w:styleId="BalloonText">
    <w:name w:val="Balloon Text"/>
    <w:basedOn w:val="Normal"/>
    <w:link w:val="BalloonTextChar"/>
    <w:uiPriority w:val="99"/>
    <w:semiHidden/>
    <w:unhideWhenUsed/>
    <w:rsid w:val="00AB4316"/>
    <w:rPr>
      <w:rFonts w:ascii="Tahoma" w:hAnsi="Tahoma" w:cs="Tahoma"/>
      <w:sz w:val="16"/>
      <w:szCs w:val="16"/>
    </w:rPr>
  </w:style>
  <w:style w:type="character" w:customStyle="1" w:styleId="BalloonTextChar">
    <w:name w:val="Balloon Text Char"/>
    <w:basedOn w:val="DefaultParagraphFont"/>
    <w:link w:val="BalloonText"/>
    <w:uiPriority w:val="99"/>
    <w:semiHidden/>
    <w:rsid w:val="00AB4316"/>
    <w:rPr>
      <w:rFonts w:ascii="Tahoma" w:hAnsi="Tahoma" w:cs="Tahoma"/>
      <w:sz w:val="16"/>
      <w:szCs w:val="16"/>
    </w:rPr>
  </w:style>
  <w:style w:type="paragraph" w:styleId="Header">
    <w:name w:val="header"/>
    <w:basedOn w:val="Normal"/>
    <w:link w:val="HeaderChar"/>
    <w:uiPriority w:val="99"/>
    <w:unhideWhenUsed/>
    <w:rsid w:val="00AB4316"/>
    <w:pPr>
      <w:tabs>
        <w:tab w:val="center" w:pos="4680"/>
        <w:tab w:val="right" w:pos="9360"/>
      </w:tabs>
    </w:pPr>
  </w:style>
  <w:style w:type="character" w:customStyle="1" w:styleId="HeaderChar">
    <w:name w:val="Header Char"/>
    <w:basedOn w:val="DefaultParagraphFont"/>
    <w:link w:val="Header"/>
    <w:uiPriority w:val="99"/>
    <w:rsid w:val="00AB4316"/>
    <w:rPr>
      <w:rFonts w:ascii="Calibri" w:hAnsi="Calibri" w:cs="Calibri"/>
    </w:rPr>
  </w:style>
  <w:style w:type="paragraph" w:styleId="Footer">
    <w:name w:val="footer"/>
    <w:basedOn w:val="Normal"/>
    <w:link w:val="FooterChar"/>
    <w:uiPriority w:val="99"/>
    <w:unhideWhenUsed/>
    <w:rsid w:val="00AB4316"/>
    <w:pPr>
      <w:tabs>
        <w:tab w:val="center" w:pos="4680"/>
        <w:tab w:val="right" w:pos="9360"/>
      </w:tabs>
    </w:pPr>
  </w:style>
  <w:style w:type="character" w:customStyle="1" w:styleId="FooterChar">
    <w:name w:val="Footer Char"/>
    <w:basedOn w:val="DefaultParagraphFont"/>
    <w:link w:val="Footer"/>
    <w:uiPriority w:val="99"/>
    <w:rsid w:val="00AB4316"/>
    <w:rPr>
      <w:rFonts w:ascii="Calibri" w:hAnsi="Calibri" w:cs="Calibri"/>
    </w:rPr>
  </w:style>
  <w:style w:type="paragraph" w:customStyle="1" w:styleId="Default">
    <w:name w:val="Default"/>
    <w:rsid w:val="008F0F1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B0065"/>
    <w:pPr>
      <w:spacing w:before="100" w:beforeAutospacing="1" w:after="100" w:afterAutospacing="1"/>
    </w:pPr>
    <w:rPr>
      <w:rFonts w:ascii="Verdana" w:eastAsia="Times New Roman" w:hAnsi="Verdana" w:cs="Times New Roman"/>
      <w:sz w:val="20"/>
      <w:szCs w:val="20"/>
    </w:rPr>
  </w:style>
  <w:style w:type="character" w:styleId="Strong">
    <w:name w:val="Strong"/>
    <w:basedOn w:val="DefaultParagraphFont"/>
    <w:uiPriority w:val="22"/>
    <w:qFormat/>
    <w:rsid w:val="003B0065"/>
    <w:rPr>
      <w:b/>
      <w:bCs/>
    </w:rPr>
  </w:style>
  <w:style w:type="table" w:styleId="TableGrid">
    <w:name w:val="Table Grid"/>
    <w:basedOn w:val="TableNormal"/>
    <w:uiPriority w:val="59"/>
    <w:rsid w:val="00FB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4659"/>
    <w:pPr>
      <w:spacing w:after="200"/>
    </w:pPr>
    <w:rPr>
      <w:b/>
      <w:bCs/>
      <w:color w:val="4F81BD" w:themeColor="accent1"/>
      <w:sz w:val="18"/>
      <w:szCs w:val="18"/>
    </w:rPr>
  </w:style>
  <w:style w:type="paragraph" w:styleId="ListParagraph">
    <w:name w:val="List Paragraph"/>
    <w:basedOn w:val="Normal"/>
    <w:uiPriority w:val="34"/>
    <w:qFormat/>
    <w:rsid w:val="00697921"/>
    <w:pPr>
      <w:ind w:left="72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25538">
      <w:bodyDiv w:val="1"/>
      <w:marLeft w:val="0"/>
      <w:marRight w:val="0"/>
      <w:marTop w:val="0"/>
      <w:marBottom w:val="0"/>
      <w:divBdr>
        <w:top w:val="none" w:sz="0" w:space="0" w:color="auto"/>
        <w:left w:val="none" w:sz="0" w:space="0" w:color="auto"/>
        <w:bottom w:val="none" w:sz="0" w:space="0" w:color="auto"/>
        <w:right w:val="none" w:sz="0" w:space="0" w:color="auto"/>
      </w:divBdr>
    </w:div>
    <w:div w:id="230386162">
      <w:bodyDiv w:val="1"/>
      <w:marLeft w:val="0"/>
      <w:marRight w:val="0"/>
      <w:marTop w:val="0"/>
      <w:marBottom w:val="0"/>
      <w:divBdr>
        <w:top w:val="none" w:sz="0" w:space="0" w:color="auto"/>
        <w:left w:val="none" w:sz="0" w:space="0" w:color="auto"/>
        <w:bottom w:val="none" w:sz="0" w:space="0" w:color="auto"/>
        <w:right w:val="none" w:sz="0" w:space="0" w:color="auto"/>
      </w:divBdr>
    </w:div>
    <w:div w:id="582449128">
      <w:bodyDiv w:val="1"/>
      <w:marLeft w:val="0"/>
      <w:marRight w:val="0"/>
      <w:marTop w:val="0"/>
      <w:marBottom w:val="0"/>
      <w:divBdr>
        <w:top w:val="none" w:sz="0" w:space="0" w:color="auto"/>
        <w:left w:val="none" w:sz="0" w:space="0" w:color="auto"/>
        <w:bottom w:val="none" w:sz="0" w:space="0" w:color="auto"/>
        <w:right w:val="none" w:sz="0" w:space="0" w:color="auto"/>
      </w:divBdr>
    </w:div>
    <w:div w:id="583682228">
      <w:bodyDiv w:val="1"/>
      <w:marLeft w:val="0"/>
      <w:marRight w:val="0"/>
      <w:marTop w:val="0"/>
      <w:marBottom w:val="0"/>
      <w:divBdr>
        <w:top w:val="none" w:sz="0" w:space="0" w:color="auto"/>
        <w:left w:val="none" w:sz="0" w:space="0" w:color="auto"/>
        <w:bottom w:val="none" w:sz="0" w:space="0" w:color="auto"/>
        <w:right w:val="none" w:sz="0" w:space="0" w:color="auto"/>
      </w:divBdr>
    </w:div>
    <w:div w:id="776606761">
      <w:bodyDiv w:val="1"/>
      <w:marLeft w:val="0"/>
      <w:marRight w:val="0"/>
      <w:marTop w:val="0"/>
      <w:marBottom w:val="0"/>
      <w:divBdr>
        <w:top w:val="none" w:sz="0" w:space="0" w:color="auto"/>
        <w:left w:val="none" w:sz="0" w:space="0" w:color="auto"/>
        <w:bottom w:val="none" w:sz="0" w:space="0" w:color="auto"/>
        <w:right w:val="none" w:sz="0" w:space="0" w:color="auto"/>
      </w:divBdr>
    </w:div>
    <w:div w:id="1117215007">
      <w:bodyDiv w:val="1"/>
      <w:marLeft w:val="0"/>
      <w:marRight w:val="0"/>
      <w:marTop w:val="0"/>
      <w:marBottom w:val="0"/>
      <w:divBdr>
        <w:top w:val="none" w:sz="0" w:space="0" w:color="auto"/>
        <w:left w:val="none" w:sz="0" w:space="0" w:color="auto"/>
        <w:bottom w:val="none" w:sz="0" w:space="0" w:color="auto"/>
        <w:right w:val="none" w:sz="0" w:space="0" w:color="auto"/>
      </w:divBdr>
      <w:divsChild>
        <w:div w:id="162549914">
          <w:marLeft w:val="346"/>
          <w:marRight w:val="0"/>
          <w:marTop w:val="96"/>
          <w:marBottom w:val="0"/>
          <w:divBdr>
            <w:top w:val="none" w:sz="0" w:space="0" w:color="auto"/>
            <w:left w:val="none" w:sz="0" w:space="0" w:color="auto"/>
            <w:bottom w:val="none" w:sz="0" w:space="0" w:color="auto"/>
            <w:right w:val="none" w:sz="0" w:space="0" w:color="auto"/>
          </w:divBdr>
        </w:div>
      </w:divsChild>
    </w:div>
    <w:div w:id="13159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idep.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Fairbanks, Scott (US)</cp:lastModifiedBy>
  <cp:revision>51</cp:revision>
  <cp:lastPrinted>2014-02-04T13:34:00Z</cp:lastPrinted>
  <dcterms:created xsi:type="dcterms:W3CDTF">2014-08-01T16:19:00Z</dcterms:created>
  <dcterms:modified xsi:type="dcterms:W3CDTF">2021-03-24T20:44:00Z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Author">
    <vt:lpwstr>ACCT03\lendzins</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ies>
</file>